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FCC7E" w14:textId="1694C342" w:rsidR="00DA58B9" w:rsidRPr="000A7D1C" w:rsidRDefault="00D24B5A">
      <w:pPr>
        <w:pStyle w:val="Heading1"/>
        <w:rPr>
          <w:lang w:val="es-ES"/>
        </w:rPr>
      </w:pPr>
      <w:r w:rsidRPr="000A7D1C">
        <w:rPr>
          <w:lang w:val="es-ES"/>
        </w:rPr>
        <w:t>TIPOS DE CUIDADO ALTERNATIVO</w:t>
      </w:r>
    </w:p>
    <w:p w14:paraId="5E255C59" w14:textId="7ED7D07B" w:rsidR="009065F2" w:rsidRPr="000A7D1C" w:rsidRDefault="00D24B5A" w:rsidP="00C4766D">
      <w:pPr>
        <w:spacing w:line="276" w:lineRule="auto"/>
        <w:rPr>
          <w:rFonts w:asciiTheme="minorHAnsi" w:hAnsiTheme="minorHAnsi" w:cstheme="minorHAnsi"/>
          <w:lang w:val="es-ES"/>
        </w:rPr>
      </w:pPr>
      <w:r w:rsidRPr="000A7D1C">
        <w:rPr>
          <w:rFonts w:asciiTheme="minorHAnsi" w:hAnsiTheme="minorHAnsi" w:cstheme="minorHAnsi"/>
          <w:lang w:val="es-ES"/>
        </w:rPr>
        <w:t>El contenido de este documento informativo se ha tomado de:</w:t>
      </w:r>
    </w:p>
    <w:p w14:paraId="396FD775" w14:textId="214CB5DD" w:rsidR="009065F2" w:rsidRPr="000A7D1C" w:rsidRDefault="00D24B5A" w:rsidP="00C4766D">
      <w:pPr>
        <w:pStyle w:val="ListParagraph"/>
        <w:numPr>
          <w:ilvl w:val="0"/>
          <w:numId w:val="10"/>
        </w:numPr>
        <w:spacing w:line="276" w:lineRule="auto"/>
        <w:ind w:left="709"/>
        <w:rPr>
          <w:rFonts w:asciiTheme="minorHAnsi" w:hAnsiTheme="minorHAnsi" w:cstheme="minorHAnsi"/>
          <w:lang w:val="es-ES"/>
        </w:rPr>
      </w:pPr>
      <w:r w:rsidRPr="000A7D1C">
        <w:rPr>
          <w:rFonts w:asciiTheme="minorHAnsi" w:hAnsiTheme="minorHAnsi" w:cstheme="minorHAnsi"/>
          <w:lang w:val="es-ES"/>
        </w:rPr>
        <w:t xml:space="preserve">Grupo de Trabajo Interinstitucional sobre Niños, Niñas y Adolescentes No Acompañados y Separados (2013) </w:t>
      </w:r>
      <w:hyperlink r:id="rId8" w:history="1">
        <w:r w:rsidR="009065F2" w:rsidRPr="008D6DDC">
          <w:rPr>
            <w:rStyle w:val="Hyperlink"/>
            <w:rFonts w:asciiTheme="minorHAnsi" w:hAnsiTheme="minorHAnsi" w:cstheme="minorHAnsi"/>
            <w:color w:val="0070C0"/>
            <w:lang w:val="es-ES"/>
          </w:rPr>
          <w:t xml:space="preserve">Alternative Care in </w:t>
        </w:r>
        <w:proofErr w:type="spellStart"/>
        <w:r w:rsidR="009065F2" w:rsidRPr="008D6DDC">
          <w:rPr>
            <w:rStyle w:val="Hyperlink"/>
            <w:rFonts w:asciiTheme="minorHAnsi" w:hAnsiTheme="minorHAnsi" w:cstheme="minorHAnsi"/>
            <w:color w:val="0070C0"/>
            <w:lang w:val="es-ES"/>
          </w:rPr>
          <w:t>Emergencies</w:t>
        </w:r>
        <w:proofErr w:type="spellEnd"/>
        <w:r w:rsidR="009065F2" w:rsidRPr="008D6DDC">
          <w:rPr>
            <w:rStyle w:val="Hyperlink"/>
            <w:rFonts w:asciiTheme="minorHAnsi" w:hAnsiTheme="minorHAnsi" w:cstheme="minorHAnsi"/>
            <w:color w:val="0070C0"/>
            <w:lang w:val="es-ES"/>
          </w:rPr>
          <w:t xml:space="preserve"> </w:t>
        </w:r>
        <w:proofErr w:type="spellStart"/>
        <w:r w:rsidR="009065F2" w:rsidRPr="008D6DDC">
          <w:rPr>
            <w:rStyle w:val="Hyperlink"/>
            <w:rFonts w:asciiTheme="minorHAnsi" w:hAnsiTheme="minorHAnsi" w:cstheme="minorHAnsi"/>
            <w:color w:val="0070C0"/>
            <w:lang w:val="es-ES"/>
          </w:rPr>
          <w:t>Toolkit</w:t>
        </w:r>
        <w:proofErr w:type="spellEnd"/>
      </w:hyperlink>
      <w:r w:rsidR="009065F2" w:rsidRPr="000A7D1C">
        <w:rPr>
          <w:rFonts w:asciiTheme="minorHAnsi" w:hAnsiTheme="minorHAnsi" w:cstheme="minorHAnsi"/>
          <w:color w:val="0070C0"/>
          <w:lang w:val="es-ES"/>
        </w:rPr>
        <w:t xml:space="preserve">, </w:t>
      </w:r>
      <w:r w:rsidRPr="000A7D1C">
        <w:rPr>
          <w:rFonts w:asciiTheme="minorHAnsi" w:hAnsiTheme="minorHAnsi" w:cstheme="minorHAnsi"/>
          <w:lang w:val="es-ES"/>
        </w:rPr>
        <w:t xml:space="preserve">publicado por Save </w:t>
      </w:r>
      <w:proofErr w:type="spellStart"/>
      <w:r w:rsidRPr="000A7D1C">
        <w:rPr>
          <w:rFonts w:asciiTheme="minorHAnsi" w:hAnsiTheme="minorHAnsi" w:cstheme="minorHAnsi"/>
          <w:lang w:val="es-ES"/>
        </w:rPr>
        <w:t>the</w:t>
      </w:r>
      <w:proofErr w:type="spellEnd"/>
      <w:r w:rsidRPr="000A7D1C">
        <w:rPr>
          <w:rFonts w:asciiTheme="minorHAnsi" w:hAnsiTheme="minorHAnsi" w:cstheme="minorHAnsi"/>
          <w:lang w:val="es-ES"/>
        </w:rPr>
        <w:t xml:space="preserve"> </w:t>
      </w:r>
      <w:proofErr w:type="spellStart"/>
      <w:r w:rsidRPr="000A7D1C">
        <w:rPr>
          <w:rFonts w:asciiTheme="minorHAnsi" w:hAnsiTheme="minorHAnsi" w:cstheme="minorHAnsi"/>
          <w:lang w:val="es-ES"/>
        </w:rPr>
        <w:t>Children</w:t>
      </w:r>
      <w:proofErr w:type="spellEnd"/>
      <w:r w:rsidRPr="000A7D1C">
        <w:rPr>
          <w:rFonts w:asciiTheme="minorHAnsi" w:hAnsiTheme="minorHAnsi" w:cstheme="minorHAnsi"/>
          <w:lang w:val="es-ES"/>
        </w:rPr>
        <w:t xml:space="preserve"> en nombre del Grupo de Trabajo Interinstitucional sobre Niños, Niñas y Adolescentes No Acompañados y Separados</w:t>
      </w:r>
      <w:r w:rsidR="009065F2" w:rsidRPr="000A7D1C">
        <w:rPr>
          <w:rFonts w:asciiTheme="minorHAnsi" w:hAnsiTheme="minorHAnsi" w:cstheme="minorHAnsi"/>
          <w:lang w:val="es-ES"/>
        </w:rPr>
        <w:t>.</w:t>
      </w:r>
    </w:p>
    <w:p w14:paraId="574B9E1E" w14:textId="3DBD0D47" w:rsidR="009065F2" w:rsidRPr="000A7D1C" w:rsidRDefault="00D24B5A" w:rsidP="00C4766D">
      <w:pPr>
        <w:pStyle w:val="ListParagraph"/>
        <w:numPr>
          <w:ilvl w:val="0"/>
          <w:numId w:val="10"/>
        </w:numPr>
        <w:spacing w:line="276" w:lineRule="auto"/>
        <w:ind w:left="709"/>
        <w:rPr>
          <w:rFonts w:asciiTheme="minorHAnsi" w:hAnsiTheme="minorHAnsi" w:cstheme="minorHAnsi"/>
          <w:lang w:val="es-ES"/>
        </w:rPr>
      </w:pPr>
      <w:r w:rsidRPr="000A7D1C">
        <w:rPr>
          <w:rFonts w:asciiTheme="minorHAnsi" w:hAnsiTheme="minorHAnsi" w:cstheme="minorHAnsi"/>
          <w:lang w:val="es-ES"/>
        </w:rPr>
        <w:t>ACNUR</w:t>
      </w:r>
      <w:r w:rsidR="009065F2" w:rsidRPr="000A7D1C">
        <w:rPr>
          <w:rFonts w:asciiTheme="minorHAnsi" w:hAnsiTheme="minorHAnsi" w:cstheme="minorHAnsi"/>
          <w:lang w:val="es-ES"/>
        </w:rPr>
        <w:t xml:space="preserve"> (2021) </w:t>
      </w:r>
      <w:hyperlink r:id="rId9" w:tgtFrame="_blank" w:history="1">
        <w:proofErr w:type="spellStart"/>
        <w:r w:rsidR="009065F2" w:rsidRPr="008D6DDC">
          <w:rPr>
            <w:rStyle w:val="Hyperlink"/>
            <w:rFonts w:asciiTheme="minorHAnsi" w:hAnsiTheme="minorHAnsi" w:cstheme="minorHAnsi"/>
            <w:color w:val="0070C0"/>
            <w:shd w:val="clear" w:color="auto" w:fill="FFFFFF"/>
            <w:lang w:val="es-ES"/>
          </w:rPr>
          <w:t>Guidelines</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on</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supervised</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independent</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gramStart"/>
        <w:r w:rsidR="009065F2" w:rsidRPr="008D6DDC">
          <w:rPr>
            <w:rStyle w:val="Hyperlink"/>
            <w:rFonts w:asciiTheme="minorHAnsi" w:hAnsiTheme="minorHAnsi" w:cstheme="minorHAnsi"/>
            <w:color w:val="0070C0"/>
            <w:shd w:val="clear" w:color="auto" w:fill="FFFFFF"/>
            <w:lang w:val="es-ES"/>
          </w:rPr>
          <w:t>living</w:t>
        </w:r>
        <w:proofErr w:type="gram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for</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unaccompanied</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children</w:t>
        </w:r>
        <w:proofErr w:type="spellEnd"/>
        <w:r w:rsidR="009065F2" w:rsidRPr="008D6DDC">
          <w:rPr>
            <w:rStyle w:val="Hyperlink"/>
            <w:rFonts w:asciiTheme="minorHAnsi" w:hAnsiTheme="minorHAnsi" w:cstheme="minorHAnsi"/>
            <w:color w:val="0070C0"/>
            <w:shd w:val="clear" w:color="auto" w:fill="FFFFFF"/>
            <w:lang w:val="es-ES"/>
          </w:rPr>
          <w:t xml:space="preserve"> </w:t>
        </w:r>
      </w:hyperlink>
    </w:p>
    <w:p w14:paraId="7C06497F" w14:textId="0CC43FB0" w:rsidR="009065F2" w:rsidRPr="000A7D1C" w:rsidRDefault="00D24B5A" w:rsidP="00C4766D">
      <w:pPr>
        <w:pStyle w:val="ListParagraph"/>
        <w:numPr>
          <w:ilvl w:val="0"/>
          <w:numId w:val="10"/>
        </w:numPr>
        <w:spacing w:line="276" w:lineRule="auto"/>
        <w:ind w:left="709"/>
        <w:rPr>
          <w:rFonts w:asciiTheme="minorHAnsi" w:hAnsiTheme="minorHAnsi" w:cstheme="minorHAnsi"/>
          <w:lang w:val="es-ES"/>
        </w:rPr>
      </w:pPr>
      <w:r w:rsidRPr="000A7D1C">
        <w:rPr>
          <w:rFonts w:asciiTheme="minorHAnsi" w:hAnsiTheme="minorHAnsi" w:cstheme="minorHAnsi"/>
          <w:shd w:val="clear" w:color="auto" w:fill="FFFFFF"/>
          <w:lang w:val="es-ES"/>
        </w:rPr>
        <w:t xml:space="preserve">Asamblea General de las Naciones Unidas </w:t>
      </w:r>
      <w:r w:rsidR="009065F2" w:rsidRPr="000A7D1C">
        <w:rPr>
          <w:rFonts w:asciiTheme="minorHAnsi" w:hAnsiTheme="minorHAnsi" w:cstheme="minorHAnsi"/>
          <w:shd w:val="clear" w:color="auto" w:fill="FFFFFF"/>
          <w:lang w:val="es-ES"/>
        </w:rPr>
        <w:t xml:space="preserve">(2009), </w:t>
      </w:r>
      <w:hyperlink r:id="rId10" w:history="1">
        <w:proofErr w:type="spellStart"/>
        <w:r w:rsidR="009065F2" w:rsidRPr="008D6DDC">
          <w:rPr>
            <w:rStyle w:val="Hyperlink"/>
            <w:rFonts w:asciiTheme="minorHAnsi" w:hAnsiTheme="minorHAnsi" w:cstheme="minorHAnsi"/>
            <w:color w:val="0070C0"/>
            <w:shd w:val="clear" w:color="auto" w:fill="FFFFFF"/>
            <w:lang w:val="es-ES"/>
          </w:rPr>
          <w:t>Guidelines</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for</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the</w:t>
        </w:r>
        <w:proofErr w:type="spellEnd"/>
        <w:r w:rsidR="009065F2" w:rsidRPr="008D6DDC">
          <w:rPr>
            <w:rStyle w:val="Hyperlink"/>
            <w:rFonts w:asciiTheme="minorHAnsi" w:hAnsiTheme="minorHAnsi" w:cstheme="minorHAnsi"/>
            <w:color w:val="0070C0"/>
            <w:shd w:val="clear" w:color="auto" w:fill="FFFFFF"/>
            <w:lang w:val="es-ES"/>
          </w:rPr>
          <w:t xml:space="preserve"> Alternative Care </w:t>
        </w:r>
        <w:proofErr w:type="spellStart"/>
        <w:r w:rsidR="009065F2" w:rsidRPr="008D6DDC">
          <w:rPr>
            <w:rStyle w:val="Hyperlink"/>
            <w:rFonts w:asciiTheme="minorHAnsi" w:hAnsiTheme="minorHAnsi" w:cstheme="minorHAnsi"/>
            <w:color w:val="0070C0"/>
            <w:shd w:val="clear" w:color="auto" w:fill="FFFFFF"/>
            <w:lang w:val="es-ES"/>
          </w:rPr>
          <w:t>of</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Children</w:t>
        </w:r>
        <w:proofErr w:type="spellEnd"/>
        <w:r w:rsidR="009065F2" w:rsidRPr="008D6DDC">
          <w:rPr>
            <w:rStyle w:val="Hyperlink"/>
            <w:rFonts w:asciiTheme="minorHAnsi" w:hAnsiTheme="minorHAnsi" w:cstheme="minorHAnsi"/>
            <w:color w:val="0070C0"/>
            <w:shd w:val="clear" w:color="auto" w:fill="FFFFFF"/>
            <w:lang w:val="es-ES"/>
          </w:rPr>
          <w:t xml:space="preserve">: </w:t>
        </w:r>
        <w:proofErr w:type="spellStart"/>
        <w:r w:rsidR="009065F2" w:rsidRPr="008D6DDC">
          <w:rPr>
            <w:rStyle w:val="Hyperlink"/>
            <w:rFonts w:asciiTheme="minorHAnsi" w:hAnsiTheme="minorHAnsi" w:cstheme="minorHAnsi"/>
            <w:color w:val="0070C0"/>
            <w:shd w:val="clear" w:color="auto" w:fill="FFFFFF"/>
            <w:lang w:val="es-ES"/>
          </w:rPr>
          <w:t>resolution</w:t>
        </w:r>
        <w:proofErr w:type="spellEnd"/>
      </w:hyperlink>
    </w:p>
    <w:p w14:paraId="35B61EA5" w14:textId="79667CBC" w:rsidR="00DA58B9" w:rsidRPr="000A7D1C" w:rsidRDefault="00D24B5A">
      <w:pPr>
        <w:pStyle w:val="Heading1"/>
        <w:rPr>
          <w:lang w:val="es-ES"/>
        </w:rPr>
      </w:pPr>
      <w:r w:rsidRPr="000A7D1C">
        <w:rPr>
          <w:lang w:val="es-ES"/>
        </w:rPr>
        <w:t>CUIDADO RESIDENCIAL</w:t>
      </w:r>
    </w:p>
    <w:p w14:paraId="26C26C98" w14:textId="40662B17" w:rsidR="00DA58B9" w:rsidRPr="000A7D1C" w:rsidRDefault="00D24B5A">
      <w:pPr>
        <w:pStyle w:val="Heading2"/>
        <w:rPr>
          <w:lang w:val="es-ES"/>
        </w:rPr>
      </w:pPr>
      <w:r w:rsidRPr="000A7D1C">
        <w:rPr>
          <w:lang w:val="es-ES"/>
        </w:rPr>
        <w:t>Características</w:t>
      </w:r>
    </w:p>
    <w:p w14:paraId="5B405369" w14:textId="77777777" w:rsidR="000A7D1C" w:rsidRDefault="00D24B5A">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Un acuerdo de convivencia en grupo en un establecimiento especialmente designado donde el personal remunerado o los voluntarios garantizan el cuidado en turnos.</w:t>
      </w:r>
    </w:p>
    <w:p w14:paraId="453E0168" w14:textId="77777777" w:rsidR="000A7D1C" w:rsidRDefault="000A7D1C">
      <w:pPr>
        <w:spacing w:after="0" w:line="276" w:lineRule="auto"/>
        <w:jc w:val="both"/>
        <w:rPr>
          <w:rFonts w:ascii="Calibri" w:eastAsia="Calibri" w:hAnsi="Calibri" w:cs="Calibri"/>
          <w:color w:val="000000"/>
          <w:lang w:val="es-ES"/>
        </w:rPr>
      </w:pPr>
    </w:p>
    <w:p w14:paraId="0BCCD618" w14:textId="4DCCCF6A" w:rsidR="00DA58B9" w:rsidRPr="000A7D1C" w:rsidRDefault="000A7D1C">
      <w:pPr>
        <w:spacing w:after="0" w:line="276" w:lineRule="auto"/>
        <w:jc w:val="both"/>
        <w:rPr>
          <w:lang w:val="es-ES"/>
        </w:rPr>
      </w:pPr>
      <w:r w:rsidRPr="000A7D1C">
        <w:rPr>
          <w:rFonts w:ascii="Calibri" w:eastAsia="Calibri" w:hAnsi="Calibri" w:cs="Calibri"/>
          <w:color w:val="000000"/>
          <w:lang w:val="es-ES"/>
        </w:rPr>
        <w:t xml:space="preserve"> </w:t>
      </w:r>
      <w:r w:rsidR="00D24B5A" w:rsidRPr="000A7D1C">
        <w:rPr>
          <w:rFonts w:ascii="Calibri" w:eastAsia="Calibri" w:hAnsi="Calibri" w:cs="Calibri"/>
          <w:color w:val="000000"/>
          <w:lang w:val="es-ES"/>
        </w:rPr>
        <w:t>El cuidado residencial es un término general que incluye:</w:t>
      </w:r>
    </w:p>
    <w:p w14:paraId="4C3E0626" w14:textId="18EAE737" w:rsidR="00DA58B9" w:rsidRPr="000A7D1C" w:rsidRDefault="00D24B5A">
      <w:pPr>
        <w:numPr>
          <w:ilvl w:val="0"/>
          <w:numId w:val="4"/>
        </w:numPr>
        <w:pBdr>
          <w:top w:val="nil"/>
          <w:left w:val="nil"/>
          <w:bottom w:val="nil"/>
          <w:right w:val="nil"/>
          <w:between w:val="nil"/>
        </w:pBdr>
        <w:spacing w:after="0" w:line="276" w:lineRule="auto"/>
        <w:jc w:val="both"/>
        <w:rPr>
          <w:lang w:val="es-ES"/>
        </w:rPr>
      </w:pPr>
      <w:r w:rsidRPr="000A7D1C">
        <w:rPr>
          <w:rFonts w:ascii="Calibri" w:eastAsia="Calibri" w:hAnsi="Calibri" w:cs="Calibri"/>
          <w:color w:val="000000"/>
          <w:lang w:val="es-ES"/>
        </w:rPr>
        <w:t>Colocaciones a corto y largo plazo en instituciones,</w:t>
      </w:r>
    </w:p>
    <w:p w14:paraId="2C571B81" w14:textId="77777777" w:rsidR="00D24B5A" w:rsidRPr="000A7D1C" w:rsidRDefault="00D24B5A">
      <w:pPr>
        <w:numPr>
          <w:ilvl w:val="0"/>
          <w:numId w:val="4"/>
        </w:numPr>
        <w:pBdr>
          <w:top w:val="nil"/>
          <w:left w:val="nil"/>
          <w:bottom w:val="nil"/>
          <w:right w:val="nil"/>
          <w:between w:val="nil"/>
        </w:pBdr>
        <w:spacing w:after="0" w:line="276" w:lineRule="auto"/>
        <w:jc w:val="both"/>
        <w:rPr>
          <w:lang w:val="es-ES"/>
        </w:rPr>
      </w:pPr>
      <w:r w:rsidRPr="000A7D1C">
        <w:rPr>
          <w:rFonts w:ascii="Calibri" w:eastAsia="Calibri" w:hAnsi="Calibri" w:cs="Calibri"/>
          <w:color w:val="000000"/>
          <w:lang w:val="es-ES"/>
        </w:rPr>
        <w:t>Hogares de pequeño grupo,</w:t>
      </w:r>
    </w:p>
    <w:p w14:paraId="0152DE68" w14:textId="77777777" w:rsidR="00D24B5A" w:rsidRPr="000A7D1C" w:rsidRDefault="00D24B5A" w:rsidP="008539C7">
      <w:pPr>
        <w:numPr>
          <w:ilvl w:val="0"/>
          <w:numId w:val="4"/>
        </w:numPr>
        <w:pBdr>
          <w:top w:val="nil"/>
          <w:left w:val="nil"/>
          <w:bottom w:val="nil"/>
          <w:right w:val="nil"/>
          <w:between w:val="nil"/>
        </w:pBdr>
        <w:spacing w:after="0" w:line="276" w:lineRule="auto"/>
        <w:jc w:val="both"/>
        <w:rPr>
          <w:lang w:val="es-ES"/>
        </w:rPr>
      </w:pPr>
      <w:r w:rsidRPr="000A7D1C">
        <w:rPr>
          <w:rFonts w:ascii="Calibri" w:eastAsia="Calibri" w:hAnsi="Calibri" w:cs="Calibri"/>
          <w:color w:val="000000"/>
          <w:lang w:val="es-ES"/>
        </w:rPr>
        <w:t>Lugares seguros para el cuidado de emergencia, y</w:t>
      </w:r>
    </w:p>
    <w:p w14:paraId="6D0B4F4F" w14:textId="43C0F7CF" w:rsidR="008539C7" w:rsidRPr="000A7D1C" w:rsidRDefault="00D24B5A" w:rsidP="008539C7">
      <w:pPr>
        <w:numPr>
          <w:ilvl w:val="0"/>
          <w:numId w:val="4"/>
        </w:numPr>
        <w:pBdr>
          <w:top w:val="nil"/>
          <w:left w:val="nil"/>
          <w:bottom w:val="nil"/>
          <w:right w:val="nil"/>
          <w:between w:val="nil"/>
        </w:pBdr>
        <w:spacing w:after="0" w:line="276" w:lineRule="auto"/>
        <w:jc w:val="both"/>
        <w:rPr>
          <w:rFonts w:ascii="Calibri" w:hAnsi="Calibri" w:cs="Calibri"/>
          <w:lang w:val="es-ES"/>
        </w:rPr>
      </w:pPr>
      <w:r w:rsidRPr="000A7D1C">
        <w:rPr>
          <w:rFonts w:ascii="Calibri" w:hAnsi="Calibri" w:cs="Calibri"/>
          <w:lang w:val="es-ES"/>
        </w:rPr>
        <w:t>Centros de tránsito.</w:t>
      </w:r>
    </w:p>
    <w:p w14:paraId="6EA1E70D" w14:textId="77777777" w:rsidR="00D24B5A" w:rsidRPr="000A7D1C" w:rsidRDefault="00D24B5A" w:rsidP="00D24B5A">
      <w:pPr>
        <w:pBdr>
          <w:top w:val="nil"/>
          <w:left w:val="nil"/>
          <w:bottom w:val="nil"/>
          <w:right w:val="nil"/>
          <w:between w:val="nil"/>
        </w:pBdr>
        <w:spacing w:after="0" w:line="276" w:lineRule="auto"/>
        <w:ind w:left="720"/>
        <w:jc w:val="both"/>
        <w:rPr>
          <w:lang w:val="es-ES"/>
        </w:rPr>
      </w:pPr>
    </w:p>
    <w:p w14:paraId="602478A4" w14:textId="62ADFF6E" w:rsidR="00DA58B9" w:rsidRPr="000A7D1C" w:rsidRDefault="00D24B5A">
      <w:pPr>
        <w:pStyle w:val="Heading2"/>
        <w:rPr>
          <w:lang w:val="es-ES"/>
        </w:rPr>
      </w:pPr>
      <w:r w:rsidRPr="000A7D1C">
        <w:rPr>
          <w:lang w:val="es-ES"/>
        </w:rPr>
        <w:t>Consideraciones</w:t>
      </w:r>
    </w:p>
    <w:p w14:paraId="7245E6F2" w14:textId="77777777" w:rsidR="00D24B5A" w:rsidRDefault="00D24B5A">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Todos los establecimientos de cuidado residencial deben estar registrados e inspeccionados de manera independiente por las autoridades competentes.</w:t>
      </w:r>
    </w:p>
    <w:p w14:paraId="0DDADE68" w14:textId="77777777" w:rsidR="000A7D1C" w:rsidRPr="000A7D1C" w:rsidRDefault="000A7D1C">
      <w:pPr>
        <w:spacing w:after="0" w:line="276" w:lineRule="auto"/>
        <w:jc w:val="both"/>
        <w:rPr>
          <w:rFonts w:ascii="Calibri" w:eastAsia="Calibri" w:hAnsi="Calibri" w:cs="Calibri"/>
          <w:color w:val="000000"/>
          <w:lang w:val="es-ES"/>
        </w:rPr>
      </w:pPr>
    </w:p>
    <w:p w14:paraId="2E92B17C" w14:textId="7EB9C740" w:rsidR="00D24B5A" w:rsidRPr="000A7D1C" w:rsidRDefault="00D24B5A">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Si se desconoce la calidad del cuidado, no se debe colocar a un niño o niña en el establecimiento hasta que se haya realizado una inspección mínima. Por ejemplo, la presencia de grupos grandes de niños o una alta proporción de niños por cuidador son dos indicadores clave de baja calidad del cuidado.</w:t>
      </w:r>
    </w:p>
    <w:p w14:paraId="0C85A81D" w14:textId="77777777" w:rsidR="00D24B5A" w:rsidRPr="000A7D1C" w:rsidRDefault="00D24B5A">
      <w:pPr>
        <w:spacing w:after="0" w:line="276" w:lineRule="auto"/>
        <w:jc w:val="both"/>
        <w:rPr>
          <w:rFonts w:ascii="Calibri" w:eastAsia="Calibri" w:hAnsi="Calibri" w:cs="Calibri"/>
          <w:color w:val="000000"/>
          <w:lang w:val="es-ES"/>
        </w:rPr>
      </w:pPr>
    </w:p>
    <w:p w14:paraId="3BB429B7" w14:textId="10E629FE" w:rsidR="00DA58B9" w:rsidRPr="000A7D1C" w:rsidRDefault="00D24B5A">
      <w:pPr>
        <w:spacing w:after="0" w:line="276" w:lineRule="auto"/>
        <w:jc w:val="both"/>
        <w:rPr>
          <w:lang w:val="es-ES"/>
        </w:rPr>
      </w:pPr>
      <w:r w:rsidRPr="000A7D1C">
        <w:rPr>
          <w:rFonts w:ascii="Calibri" w:eastAsia="Calibri" w:hAnsi="Calibri" w:cs="Calibri"/>
          <w:color w:val="000000"/>
          <w:lang w:val="es-ES"/>
        </w:rPr>
        <w:t xml:space="preserve">El nivel de provisión del cuidado en todas las formas de cuidado alternativo debe evaluarse regularmente con base en un conjunto de normas acordadas, basadas en las </w:t>
      </w:r>
      <w:r w:rsidRPr="000A7D1C">
        <w:rPr>
          <w:rFonts w:ascii="Calibri" w:eastAsia="Calibri" w:hAnsi="Calibri" w:cs="Calibri"/>
          <w:i/>
          <w:iCs/>
          <w:color w:val="000000"/>
          <w:lang w:val="es-ES"/>
        </w:rPr>
        <w:t>Directrices sobre las modalidades alternativas de cuidado de los niños</w:t>
      </w:r>
      <w:r w:rsidRPr="000A7D1C">
        <w:rPr>
          <w:rFonts w:ascii="Calibri" w:eastAsia="Calibri" w:hAnsi="Calibri" w:cs="Calibri"/>
          <w:color w:val="000000"/>
          <w:lang w:val="es-ES"/>
        </w:rPr>
        <w:t xml:space="preserve"> (Naciones Unidas) o en la política o legislación nacional.</w:t>
      </w:r>
    </w:p>
    <w:p w14:paraId="09B12375" w14:textId="77777777" w:rsidR="00DA58B9" w:rsidRPr="000A7D1C" w:rsidRDefault="00DA58B9">
      <w:pPr>
        <w:spacing w:after="0" w:line="276" w:lineRule="auto"/>
        <w:jc w:val="both"/>
        <w:rPr>
          <w:rFonts w:ascii="Calibri" w:eastAsia="Calibri" w:hAnsi="Calibri" w:cs="Calibri"/>
          <w:color w:val="000000"/>
          <w:lang w:val="es-ES"/>
        </w:rPr>
      </w:pPr>
    </w:p>
    <w:p w14:paraId="092EC764" w14:textId="7B00F713" w:rsidR="00C4766D" w:rsidRPr="000A7D1C" w:rsidRDefault="00D24B5A">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El cuidado residencial debe utilizarse únicamente como último recurso, ya que los factores de riesgo suelen superar los factores de protección. Si el cuidado residencial es la única opción, debe utilizarse únicamente como medida temporal hasta que puedan desarrollarse alternativas de cuidado familiar o comunitario, o cuando sea específicamente apropiado, necesario y constructivo para el niño o niña en cuestión. Los trabajadores sociales deben alentar a las familias a cuidar de sus hijos. En particular, el cuidado residencial no es adecuado para niños y niñas menores de tres años debido a sus necesidades específicas.</w:t>
      </w:r>
    </w:p>
    <w:p w14:paraId="7037ABBC" w14:textId="2E49B570" w:rsidR="00DA58B9" w:rsidRPr="000A7D1C" w:rsidRDefault="00D24B5A">
      <w:pPr>
        <w:pStyle w:val="Heading1"/>
        <w:rPr>
          <w:lang w:val="es-ES"/>
        </w:rPr>
      </w:pPr>
      <w:r w:rsidRPr="000A7D1C">
        <w:rPr>
          <w:lang w:val="es-ES"/>
        </w:rPr>
        <w:lastRenderedPageBreak/>
        <w:t>CUIDADO CON FAMILIA EXTENSA (CUIDADO KIN)</w:t>
      </w:r>
    </w:p>
    <w:p w14:paraId="22C43EEA" w14:textId="09CFF7B2" w:rsidR="00DA58B9" w:rsidRPr="000A7D1C" w:rsidRDefault="00D24B5A">
      <w:pPr>
        <w:pStyle w:val="Heading2"/>
        <w:rPr>
          <w:lang w:val="es-ES"/>
        </w:rPr>
      </w:pPr>
      <w:r w:rsidRPr="000A7D1C">
        <w:rPr>
          <w:lang w:val="es-ES"/>
        </w:rPr>
        <w:t>Características</w:t>
      </w:r>
    </w:p>
    <w:p w14:paraId="1B0EFD41" w14:textId="6C1AFA79" w:rsidR="008539C7" w:rsidRPr="000A7D1C" w:rsidRDefault="00D24B5A" w:rsidP="008539C7">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El cuidado con familia extensa consiste en el cuidado basado en la familia dentro del entorno familiar ampliado del niño o niña, o con amigos cercanos de la familia conocidos por el menor, ya sea de carácter formal o informal.</w:t>
      </w:r>
    </w:p>
    <w:p w14:paraId="36CA1FCD" w14:textId="77777777" w:rsidR="008539C7" w:rsidRPr="000A7D1C" w:rsidRDefault="008539C7" w:rsidP="008539C7">
      <w:pPr>
        <w:spacing w:after="0" w:line="276" w:lineRule="auto"/>
        <w:jc w:val="both"/>
        <w:rPr>
          <w:lang w:val="es-ES"/>
        </w:rPr>
      </w:pPr>
    </w:p>
    <w:p w14:paraId="5DB07CED" w14:textId="0C48C94F" w:rsidR="00DA58B9" w:rsidRPr="000A7D1C" w:rsidRDefault="00D24B5A">
      <w:pPr>
        <w:pStyle w:val="Heading2"/>
        <w:rPr>
          <w:lang w:val="es-ES"/>
        </w:rPr>
      </w:pPr>
      <w:r w:rsidRPr="000A7D1C">
        <w:rPr>
          <w:lang w:val="es-ES"/>
        </w:rPr>
        <w:t>Consideraciones</w:t>
      </w:r>
    </w:p>
    <w:p w14:paraId="402223FB" w14:textId="48BE3796" w:rsidR="00DA58B9" w:rsidRPr="000A7D1C" w:rsidRDefault="00D24B5A">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El cuidado con familia extensa suele ofrecer la mejor opción y debe considerarse en primer lugar, en conformidad con la legislación nacional pertinente. Sin embargo, aunque puede ofrecer un cuidado de buena calidad, nunca debe asumirse que, por el hecho de que los niños estén con familiares extendidos, están protegidos o que ya no necesitan reunirse con su familia biológica.</w:t>
      </w:r>
    </w:p>
    <w:p w14:paraId="7BECF623" w14:textId="77777777" w:rsidR="00D24B5A" w:rsidRPr="000A7D1C" w:rsidRDefault="00D24B5A">
      <w:pPr>
        <w:spacing w:after="0" w:line="276" w:lineRule="auto"/>
        <w:jc w:val="both"/>
        <w:rPr>
          <w:rFonts w:ascii="Calibri" w:eastAsia="Calibri" w:hAnsi="Calibri" w:cs="Calibri"/>
          <w:color w:val="000000"/>
          <w:lang w:val="es-ES"/>
        </w:rPr>
      </w:pPr>
    </w:p>
    <w:p w14:paraId="78CB1ECF" w14:textId="7792A0EB" w:rsidR="00DA58B9" w:rsidRPr="000A7D1C" w:rsidRDefault="00D24B5A">
      <w:pPr>
        <w:spacing w:after="0" w:line="276" w:lineRule="auto"/>
        <w:jc w:val="both"/>
        <w:rPr>
          <w:lang w:val="es-ES"/>
        </w:rPr>
      </w:pPr>
      <w:r w:rsidRPr="000A7D1C">
        <w:rPr>
          <w:rFonts w:ascii="Calibri" w:eastAsia="Calibri" w:hAnsi="Calibri" w:cs="Calibri"/>
          <w:color w:val="000000"/>
          <w:lang w:val="es-ES"/>
        </w:rPr>
        <w:t xml:space="preserve">En algunas regiones del mundo, el cuidado con familia extensa no se utiliza tradicionalmente como medio de protección y cuidado de un niño o niña sin familia, sino como una forma de intercambio en beneficio percibido de la familia biológica, el cuidador o el propio niño o niña. </w:t>
      </w:r>
    </w:p>
    <w:p w14:paraId="2369E81B" w14:textId="1A05F228" w:rsidR="00DA58B9" w:rsidRPr="000A7D1C" w:rsidRDefault="00D24B5A">
      <w:pPr>
        <w:pStyle w:val="Heading1"/>
        <w:rPr>
          <w:lang w:val="es-ES"/>
        </w:rPr>
      </w:pPr>
      <w:r w:rsidRPr="000A7D1C">
        <w:rPr>
          <w:lang w:val="es-ES"/>
        </w:rPr>
        <w:t>FAMILIAS DE ACOGIDA</w:t>
      </w:r>
    </w:p>
    <w:p w14:paraId="30FA25DB" w14:textId="1D3EA698" w:rsidR="00DA58B9" w:rsidRPr="000A7D1C" w:rsidRDefault="00D24B5A" w:rsidP="000A7D1C">
      <w:pPr>
        <w:pStyle w:val="Heading2"/>
        <w:rPr>
          <w:lang w:val="es-ES"/>
        </w:rPr>
      </w:pPr>
      <w:r w:rsidRPr="000A7D1C">
        <w:rPr>
          <w:lang w:val="es-ES"/>
        </w:rPr>
        <w:t>Características</w:t>
      </w:r>
    </w:p>
    <w:p w14:paraId="078B186E" w14:textId="556D681F" w:rsidR="00DA58B9" w:rsidRPr="000A7D1C" w:rsidRDefault="00C95CB4">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Situaciones en las que los niños o niñas son cuidados en un hogar fuera de su familia. El acogimiento familiar suele entenderse como un arreglo temporal, y en la mayoría de los casos los padres biológicos conservan sus derechos y responsabilidades parentales.</w:t>
      </w:r>
      <w:r w:rsidRPr="000A7D1C">
        <w:rPr>
          <w:lang w:val="es-ES"/>
        </w:rPr>
        <w:t xml:space="preserve"> </w:t>
      </w:r>
      <w:r w:rsidRPr="000A7D1C">
        <w:rPr>
          <w:rFonts w:ascii="Calibri" w:eastAsia="Calibri" w:hAnsi="Calibri" w:cs="Calibri"/>
          <w:color w:val="000000"/>
          <w:lang w:val="es-ES"/>
        </w:rPr>
        <w:t xml:space="preserve">El acuerdo de cuidado es administrado por una autoridad competente, mediante el cual el niño o niña es colocado en el entorno doméstico de una familia que: </w:t>
      </w:r>
    </w:p>
    <w:p w14:paraId="49FD8F6B" w14:textId="77777777" w:rsidR="00C95CB4" w:rsidRPr="000A7D1C" w:rsidRDefault="00C95CB4">
      <w:pPr>
        <w:spacing w:after="0" w:line="276" w:lineRule="auto"/>
        <w:jc w:val="both"/>
        <w:rPr>
          <w:lang w:val="es-ES"/>
        </w:rPr>
      </w:pPr>
    </w:p>
    <w:p w14:paraId="7E34ED94" w14:textId="13057462" w:rsidR="00DA58B9" w:rsidRPr="000A7D1C" w:rsidRDefault="00C95CB4">
      <w:pPr>
        <w:numPr>
          <w:ilvl w:val="0"/>
          <w:numId w:val="5"/>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Ha sido seleccionada, preparada y autorizada para proporcionar dicho cuidado, y</w:t>
      </w:r>
    </w:p>
    <w:p w14:paraId="4F8B3AC1" w14:textId="2754B1A7" w:rsidR="00DA58B9" w:rsidRPr="000A7D1C" w:rsidRDefault="00C95CB4">
      <w:pPr>
        <w:numPr>
          <w:ilvl w:val="0"/>
          <w:numId w:val="5"/>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Está supervisada y puede recibir apoyo económico y/o no económico para hacerlo.</w:t>
      </w:r>
    </w:p>
    <w:p w14:paraId="2B59DED9" w14:textId="77777777" w:rsidR="00DA58B9" w:rsidRPr="000A7D1C" w:rsidRDefault="00DA58B9">
      <w:pPr>
        <w:spacing w:after="0" w:line="276" w:lineRule="auto"/>
        <w:jc w:val="both"/>
        <w:rPr>
          <w:rFonts w:ascii="Calibri" w:eastAsia="Calibri" w:hAnsi="Calibri" w:cs="Calibri"/>
          <w:color w:val="000000"/>
          <w:lang w:val="es-ES"/>
        </w:rPr>
      </w:pPr>
    </w:p>
    <w:p w14:paraId="31C6F16A" w14:textId="7607B73C" w:rsidR="00DA58B9" w:rsidRPr="000A7D1C" w:rsidRDefault="00862FE4">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El acogimiento familiar también puede referirse a arreglos tradicionales o informales que no implican a un tercero, aunque puedan ser respaldados o apoyados por la comunidad e impliquen derechos y obligaciones mutuas.</w:t>
      </w:r>
    </w:p>
    <w:p w14:paraId="38284D65" w14:textId="77777777" w:rsidR="00DA58B9" w:rsidRPr="000A7D1C" w:rsidRDefault="00DA58B9">
      <w:pPr>
        <w:spacing w:after="0" w:line="276" w:lineRule="auto"/>
        <w:jc w:val="both"/>
        <w:rPr>
          <w:lang w:val="es-ES"/>
        </w:rPr>
      </w:pPr>
    </w:p>
    <w:p w14:paraId="7D2DE604" w14:textId="1FB35CAB" w:rsidR="00DA58B9" w:rsidRPr="000A7D1C" w:rsidRDefault="00862FE4">
      <w:pPr>
        <w:pStyle w:val="Heading2"/>
        <w:rPr>
          <w:lang w:val="es-ES"/>
        </w:rPr>
      </w:pPr>
      <w:r w:rsidRPr="000A7D1C">
        <w:rPr>
          <w:lang w:val="es-ES"/>
        </w:rPr>
        <w:t>Consideraciones</w:t>
      </w:r>
    </w:p>
    <w:p w14:paraId="64DE2ED9" w14:textId="5F0D84D4" w:rsidR="00DA58B9" w:rsidRPr="000A7D1C" w:rsidRDefault="00862FE4">
      <w:pPr>
        <w:spacing w:after="0" w:line="276" w:lineRule="auto"/>
        <w:jc w:val="both"/>
        <w:rPr>
          <w:lang w:val="es-ES"/>
        </w:rPr>
      </w:pPr>
      <w:r w:rsidRPr="000A7D1C">
        <w:rPr>
          <w:rFonts w:ascii="Calibri" w:eastAsia="Calibri" w:hAnsi="Calibri" w:cs="Calibri"/>
          <w:color w:val="000000"/>
          <w:lang w:val="es-ES"/>
        </w:rPr>
        <w:t>Los arreglos de tipo acogimiento familiar pueden surgir de manera espontánea en situaciones de emergencia, cuando familias acogen a un niño o niña que no es de su parentesco ni conocido.</w:t>
      </w:r>
    </w:p>
    <w:p w14:paraId="3AB81D5D" w14:textId="77777777" w:rsidR="00DA58B9" w:rsidRPr="000A7D1C" w:rsidRDefault="00DA58B9">
      <w:pPr>
        <w:spacing w:after="0" w:line="276" w:lineRule="auto"/>
        <w:jc w:val="both"/>
        <w:rPr>
          <w:lang w:val="es-ES"/>
        </w:rPr>
      </w:pPr>
    </w:p>
    <w:p w14:paraId="444B4D28" w14:textId="7285A9B0" w:rsidR="00DA58B9" w:rsidRPr="000A7D1C" w:rsidRDefault="00862FE4">
      <w:pPr>
        <w:numPr>
          <w:ilvl w:val="0"/>
          <w:numId w:val="6"/>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Dichos arreglos deben ser identificados de forma que no interrumpan el cuidado, con el fin de evaluar la calidad </w:t>
      </w:r>
      <w:proofErr w:type="gramStart"/>
      <w:r w:rsidRPr="000A7D1C">
        <w:rPr>
          <w:rFonts w:ascii="Calibri" w:eastAsia="Calibri" w:hAnsi="Calibri" w:cs="Calibri"/>
          <w:color w:val="000000"/>
          <w:lang w:val="es-ES"/>
        </w:rPr>
        <w:t>del mismo</w:t>
      </w:r>
      <w:proofErr w:type="gramEnd"/>
      <w:r w:rsidRPr="000A7D1C">
        <w:rPr>
          <w:rFonts w:ascii="Calibri" w:eastAsia="Calibri" w:hAnsi="Calibri" w:cs="Calibri"/>
          <w:color w:val="000000"/>
          <w:lang w:val="es-ES"/>
        </w:rPr>
        <w:t xml:space="preserve"> y la necesidad de búsqueda familiar, registro, seguimiento y monitoreo cuando sea necesario;</w:t>
      </w:r>
    </w:p>
    <w:p w14:paraId="17DBBF3E" w14:textId="4317E402" w:rsidR="00DA58B9" w:rsidRPr="000A7D1C" w:rsidRDefault="00862FE4">
      <w:pPr>
        <w:numPr>
          <w:ilvl w:val="0"/>
          <w:numId w:val="6"/>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En algunas sociedades, no se considera aceptable que los niños vivan con cuidadores no emparentados; el acogimiento familiar aún puede ser posible, pero las normas culturales deben tenerse cuidadosamente en cuenta;</w:t>
      </w:r>
    </w:p>
    <w:p w14:paraId="64445A7B" w14:textId="2F66609A" w:rsidR="00DA58B9" w:rsidRPr="000A7D1C" w:rsidRDefault="00862FE4">
      <w:pPr>
        <w:numPr>
          <w:ilvl w:val="0"/>
          <w:numId w:val="6"/>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lastRenderedPageBreak/>
        <w:t>En otras sociedades existe una fuerte tradición de responsabilidad comunitaria hacia los niños, lo cual no necesariamente implica que los niños cuidados de esta manera reciban el mismo nivel de atención que los hijos biológicos de la familia.</w:t>
      </w:r>
    </w:p>
    <w:p w14:paraId="2D4FF9ED" w14:textId="77777777" w:rsidR="00DA58B9" w:rsidRPr="000A7D1C" w:rsidRDefault="00DA58B9">
      <w:pPr>
        <w:spacing w:after="0" w:line="276" w:lineRule="auto"/>
        <w:jc w:val="both"/>
        <w:rPr>
          <w:rFonts w:ascii="Calibri" w:eastAsia="Calibri" w:hAnsi="Calibri" w:cs="Calibri"/>
          <w:color w:val="000000"/>
          <w:lang w:val="es-ES"/>
        </w:rPr>
      </w:pPr>
    </w:p>
    <w:p w14:paraId="04899DB4" w14:textId="3845E329" w:rsidR="00DA58B9" w:rsidRPr="000A7D1C" w:rsidRDefault="00862FE4" w:rsidP="00C4766D">
      <w:pPr>
        <w:spacing w:after="0" w:line="276" w:lineRule="auto"/>
        <w:jc w:val="both"/>
        <w:rPr>
          <w:lang w:val="es-ES"/>
        </w:rPr>
      </w:pPr>
      <w:r w:rsidRPr="000A7D1C">
        <w:rPr>
          <w:rFonts w:ascii="Calibri" w:eastAsia="Calibri" w:hAnsi="Calibri" w:cs="Calibri"/>
          <w:color w:val="000000"/>
          <w:lang w:val="es-ES"/>
        </w:rPr>
        <w:t>Aunque el acogimiento familiar puede ofrecer un cuidado de buena calidad, nunca debe asumirse que, por el hecho de que los niños estén con una familia, están protegidos o que ya no necesitan ser reunificados con su familia biológica. En algunas partes del mundo, el acogimiento familiar no se utiliza tradicionalmente como un medio de protección y cuidado del niño o niña sin familia, sino como una forma de intercambio por beneficio percibido de la familia biológica, el cuidador o el propio menor.</w:t>
      </w:r>
    </w:p>
    <w:p w14:paraId="2E73AE4D" w14:textId="7631CDE1" w:rsidR="00DA58B9" w:rsidRPr="000A7D1C" w:rsidRDefault="00862FE4">
      <w:pPr>
        <w:pStyle w:val="Heading1"/>
        <w:rPr>
          <w:lang w:val="es-ES"/>
        </w:rPr>
      </w:pPr>
      <w:r w:rsidRPr="000A7D1C">
        <w:rPr>
          <w:lang w:val="es-ES"/>
        </w:rPr>
        <w:t>VIDA INDEPENDIENTE SUPERVISADA O APOYADA</w:t>
      </w:r>
    </w:p>
    <w:p w14:paraId="26F28462" w14:textId="5A893429" w:rsidR="00DA58B9" w:rsidRPr="000A7D1C" w:rsidRDefault="00862FE4">
      <w:pPr>
        <w:pStyle w:val="Heading2"/>
        <w:rPr>
          <w:lang w:val="es-ES"/>
        </w:rPr>
      </w:pPr>
      <w:r w:rsidRPr="000A7D1C">
        <w:rPr>
          <w:lang w:val="es-ES"/>
        </w:rPr>
        <w:t>Características</w:t>
      </w:r>
    </w:p>
    <w:p w14:paraId="40CD7739" w14:textId="4B4141CA" w:rsidR="00DA58B9" w:rsidRPr="000A7D1C" w:rsidRDefault="00862FE4">
      <w:pPr>
        <w:spacing w:after="0" w:line="276" w:lineRule="auto"/>
        <w:jc w:val="both"/>
        <w:rPr>
          <w:lang w:val="es-ES"/>
        </w:rPr>
      </w:pPr>
      <w:r w:rsidRPr="000A7D1C">
        <w:rPr>
          <w:rFonts w:ascii="Calibri" w:eastAsia="Calibri" w:hAnsi="Calibri" w:cs="Calibri"/>
          <w:color w:val="000000"/>
          <w:lang w:val="es-ES"/>
        </w:rPr>
        <w:t>La vida independiente supervisada o apoyada se refiere a un arreglo de cuidado en el cual uno o varios niños, que pueden o no estar relacionados, viven de manera independiente dentro de una comunidad, es decir, no están bajo cuidado familiar ni en un entorno residencial. Esto incluye hogares encabezados por niños (donde los menores más pequeños son cuidados por un hermano o hermana mayor) y grupos de pares (donde los niños son de edad similar).</w:t>
      </w:r>
    </w:p>
    <w:p w14:paraId="25639475" w14:textId="77777777" w:rsidR="00DA58B9" w:rsidRPr="000A7D1C" w:rsidRDefault="00DA58B9">
      <w:pPr>
        <w:spacing w:after="0" w:line="276" w:lineRule="auto"/>
        <w:jc w:val="both"/>
        <w:rPr>
          <w:rFonts w:ascii="Calibri" w:eastAsia="Calibri" w:hAnsi="Calibri" w:cs="Calibri"/>
          <w:color w:val="000000"/>
          <w:lang w:val="es-ES"/>
        </w:rPr>
      </w:pPr>
    </w:p>
    <w:p w14:paraId="784322AB" w14:textId="7ABD4075" w:rsidR="00DA58B9" w:rsidRPr="000A7D1C" w:rsidRDefault="00467B8D">
      <w:pPr>
        <w:spacing w:after="0" w:line="276" w:lineRule="auto"/>
        <w:jc w:val="both"/>
        <w:rPr>
          <w:lang w:val="es-ES"/>
        </w:rPr>
      </w:pPr>
      <w:r w:rsidRPr="000A7D1C">
        <w:rPr>
          <w:rFonts w:ascii="Calibri" w:eastAsia="Calibri" w:hAnsi="Calibri" w:cs="Calibri"/>
          <w:color w:val="000000"/>
          <w:lang w:val="es-ES"/>
        </w:rPr>
        <w:t>Los niños pueden recibir apoyo o supervisión de un miembro de la comunidad, un mentor especialmente designado y capacitado (quien puede estar supervisado por un trabajador social) y/o directamente por un trabajador social. Este puede ser un arreglo efectivo para niños a quienes resulta difícil encontrar una familia de acogida (por ejemplo, adolescentes varones) y/o para aquellos que puedan tener dificultades para adaptarse a un entorno familiar.</w:t>
      </w:r>
    </w:p>
    <w:p w14:paraId="4295F5FA" w14:textId="77777777" w:rsidR="00DA58B9" w:rsidRPr="000A7D1C" w:rsidRDefault="00DA58B9">
      <w:pPr>
        <w:spacing w:after="0" w:line="276" w:lineRule="auto"/>
        <w:rPr>
          <w:rFonts w:ascii="Calibri" w:eastAsia="Calibri" w:hAnsi="Calibri" w:cs="Calibri"/>
          <w:color w:val="000000"/>
          <w:lang w:val="es-ES"/>
        </w:rPr>
      </w:pPr>
    </w:p>
    <w:p w14:paraId="0E0A5B67" w14:textId="182A02F4" w:rsidR="00DA58B9" w:rsidRPr="000A7D1C" w:rsidRDefault="00467B8D">
      <w:pPr>
        <w:spacing w:after="0" w:line="276" w:lineRule="auto"/>
        <w:rPr>
          <w:b/>
          <w:color w:val="97467C" w:themeColor="accent2"/>
          <w:sz w:val="24"/>
          <w:szCs w:val="24"/>
          <w:lang w:val="es-ES"/>
        </w:rPr>
      </w:pPr>
      <w:r w:rsidRPr="000A7D1C">
        <w:rPr>
          <w:rFonts w:ascii="Calibri" w:eastAsia="Calibri" w:hAnsi="Calibri" w:cs="Calibri"/>
          <w:b/>
          <w:color w:val="97467C" w:themeColor="accent2"/>
          <w:sz w:val="24"/>
          <w:szCs w:val="24"/>
          <w:lang w:val="es-ES"/>
        </w:rPr>
        <w:t xml:space="preserve">Puntos clave: </w:t>
      </w:r>
    </w:p>
    <w:p w14:paraId="3E614141" w14:textId="5A647766" w:rsidR="00DA58B9" w:rsidRPr="000A7D1C" w:rsidRDefault="00467B8D">
      <w:pPr>
        <w:numPr>
          <w:ilvl w:val="0"/>
          <w:numId w:val="7"/>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El niño o los niños viven sin cuidado adulto a tiempo completo.</w:t>
      </w:r>
    </w:p>
    <w:p w14:paraId="3411355A" w14:textId="23DC08DE" w:rsidR="00DA58B9" w:rsidRPr="000A7D1C" w:rsidRDefault="00467B8D">
      <w:pPr>
        <w:numPr>
          <w:ilvl w:val="0"/>
          <w:numId w:val="7"/>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Es adecuado para niños de no menos de 15 años, excepto en el caso de menores más jóvenes que vivan con un hermano o hermana de 15 años o más, cuando ello sea en su interés superior. </w:t>
      </w:r>
    </w:p>
    <w:p w14:paraId="13389643" w14:textId="412521B2" w:rsidR="00DA58B9" w:rsidRPr="000A7D1C" w:rsidRDefault="00467B8D">
      <w:pPr>
        <w:numPr>
          <w:ilvl w:val="0"/>
          <w:numId w:val="7"/>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Los arreglos pueden ser espontáneos u organizados por un actor externo.</w:t>
      </w:r>
    </w:p>
    <w:p w14:paraId="7CE956A3" w14:textId="77777777" w:rsidR="00DA58B9" w:rsidRPr="000A7D1C" w:rsidRDefault="00DA58B9">
      <w:pPr>
        <w:spacing w:after="0" w:line="240" w:lineRule="auto"/>
        <w:rPr>
          <w:lang w:val="es-ES"/>
        </w:rPr>
      </w:pPr>
    </w:p>
    <w:p w14:paraId="1EADA44D" w14:textId="4C8F3385" w:rsidR="00DA58B9" w:rsidRPr="000A7D1C" w:rsidRDefault="00000000">
      <w:pPr>
        <w:pStyle w:val="Heading2"/>
        <w:rPr>
          <w:lang w:val="es-ES"/>
        </w:rPr>
      </w:pPr>
      <w:r w:rsidRPr="000A7D1C">
        <w:rPr>
          <w:lang w:val="es-ES"/>
        </w:rPr>
        <w:t>Mentor</w:t>
      </w:r>
      <w:r w:rsidR="0092490B" w:rsidRPr="000A7D1C">
        <w:rPr>
          <w:lang w:val="es-ES"/>
        </w:rPr>
        <w:t>/a</w:t>
      </w:r>
    </w:p>
    <w:p w14:paraId="72B5A817" w14:textId="77777777" w:rsidR="00467B8D" w:rsidRPr="000A7D1C" w:rsidRDefault="00467B8D">
      <w:pPr>
        <w:numPr>
          <w:ilvl w:val="0"/>
          <w:numId w:val="1"/>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Un adulto capacitado y de confianza, asignado o que asume la responsabilidad de proporcionar orientación y apoyo a un niño o grupo de niños (adaptado de las </w:t>
      </w:r>
      <w:r w:rsidRPr="000A7D1C">
        <w:rPr>
          <w:rFonts w:ascii="Calibri" w:eastAsia="Calibri" w:hAnsi="Calibri" w:cs="Calibri"/>
          <w:i/>
          <w:iCs/>
          <w:color w:val="000000"/>
          <w:lang w:val="es-ES"/>
        </w:rPr>
        <w:t>Directrices sobre vida independiente supervisada para niños no acompañados</w:t>
      </w:r>
      <w:r w:rsidRPr="000A7D1C">
        <w:rPr>
          <w:rFonts w:ascii="Calibri" w:eastAsia="Calibri" w:hAnsi="Calibri" w:cs="Calibri"/>
          <w:color w:val="000000"/>
          <w:lang w:val="es-ES"/>
        </w:rPr>
        <w:t>, ACNUR, 2019)</w:t>
      </w:r>
    </w:p>
    <w:p w14:paraId="3371D746" w14:textId="5F9ADAB9" w:rsidR="00DA58B9" w:rsidRPr="000A7D1C" w:rsidRDefault="00467B8D">
      <w:pPr>
        <w:numPr>
          <w:ilvl w:val="0"/>
          <w:numId w:val="1"/>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Generalmente es una persona más experimentada o con mayor conocimiento de la comunidad, quizá miembro de un grupo comunitario, o en algunos casos puede ser empleado por las autoridades locales. </w:t>
      </w:r>
    </w:p>
    <w:p w14:paraId="315C696E" w14:textId="460ECD1C" w:rsidR="00DA58B9" w:rsidRPr="000A7D1C" w:rsidRDefault="00467B8D">
      <w:pPr>
        <w:numPr>
          <w:ilvl w:val="0"/>
          <w:numId w:val="1"/>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El mentor ayuda al niño a afrontar los desafíos cotidianos, le brinda apoyo y cuidado apropiados, y lo conecta con oportunidades de desarrollo personal, social y económico.</w:t>
      </w:r>
    </w:p>
    <w:p w14:paraId="41456200" w14:textId="3C77BBEE" w:rsidR="00DA58B9" w:rsidRPr="000A7D1C" w:rsidRDefault="00467B8D">
      <w:pPr>
        <w:numPr>
          <w:ilvl w:val="0"/>
          <w:numId w:val="1"/>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Los mentores normalmente no viven con los niños, pero los visitan regularmente y les proporcionan el apoyo necesario. </w:t>
      </w:r>
    </w:p>
    <w:p w14:paraId="1DCD66F4" w14:textId="5E3E9BB2" w:rsidR="00DA58B9" w:rsidRPr="000A7D1C" w:rsidRDefault="00467B8D">
      <w:pPr>
        <w:numPr>
          <w:ilvl w:val="0"/>
          <w:numId w:val="1"/>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El mentor no tiene responsabilidad legal sobre el niño o los niños, y es poco probable que sea mencionado en las leyes nacionales. </w:t>
      </w:r>
    </w:p>
    <w:p w14:paraId="6BF36705" w14:textId="67F2099E" w:rsidR="00DA58B9" w:rsidRPr="000A7D1C" w:rsidRDefault="00467B8D">
      <w:pPr>
        <w:numPr>
          <w:ilvl w:val="0"/>
          <w:numId w:val="1"/>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lastRenderedPageBreak/>
        <w:t>No debe confundirse al mentor con el tutor, quien suele ser designado por las jurisdicciones nacionales para salvaguardar el interés superior y el bienestar general del niño o niña.</w:t>
      </w:r>
    </w:p>
    <w:p w14:paraId="4556A7C5" w14:textId="11A7B14B" w:rsidR="00DA58B9" w:rsidRPr="000A7D1C" w:rsidRDefault="00467B8D" w:rsidP="00C4766D">
      <w:pPr>
        <w:numPr>
          <w:ilvl w:val="0"/>
          <w:numId w:val="1"/>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Cuando existen tanto un mentor como un tutor, es importante que mantengan comunicación entre sí, a fin de transmitir mensajes coherentes al niño o los niños.</w:t>
      </w:r>
    </w:p>
    <w:p w14:paraId="455C9B8F" w14:textId="254ECBBB" w:rsidR="00DA58B9" w:rsidRPr="000A7D1C" w:rsidRDefault="00C86FC1" w:rsidP="00C86FC1">
      <w:pPr>
        <w:pStyle w:val="Heading1"/>
        <w:rPr>
          <w:lang w:val="es-ES"/>
        </w:rPr>
      </w:pPr>
      <w:r w:rsidRPr="000A7D1C">
        <w:rPr>
          <w:lang w:val="es-ES"/>
        </w:rPr>
        <w:t>HOGARES DE PEQUEÑO GRUPO</w:t>
      </w:r>
    </w:p>
    <w:p w14:paraId="756408E7" w14:textId="329CD8F3" w:rsidR="00C86FC1" w:rsidRPr="000A7D1C" w:rsidRDefault="00C86FC1" w:rsidP="000A7D1C">
      <w:pPr>
        <w:pStyle w:val="Heading2"/>
        <w:rPr>
          <w:lang w:val="es-ES"/>
        </w:rPr>
      </w:pPr>
      <w:r w:rsidRPr="000A7D1C">
        <w:rPr>
          <w:lang w:val="es-ES"/>
        </w:rPr>
        <w:t xml:space="preserve">Características: </w:t>
      </w:r>
    </w:p>
    <w:p w14:paraId="79D83D28" w14:textId="77777777" w:rsidR="000A7D1C" w:rsidRDefault="00C86FC1" w:rsidP="000A7D1C">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Los arreglos de vida independiente supervisada o apoyada se refieren a una modalidad de cuidado en la cual un niño, niña o grupo de niños, niñas o adolescentes, que pueden estar o no relacionados entre sí, viven de manera independiente dentro de una comunidad, es decir, no reciben cuidado en el seno de una familia ni en un entorno residencial.</w:t>
      </w:r>
    </w:p>
    <w:p w14:paraId="0675D33F" w14:textId="463BA93C" w:rsidR="00DA58B9" w:rsidRPr="000A7D1C" w:rsidRDefault="00C86FC1" w:rsidP="000A7D1C">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br/>
        <w:t>Esta modalidad incluye los hogares encabezados por niños, niñas o adolescentes (en los que los menores más pequeños son cuidados por un hermano o hermana mayor) y los grupos de pares (en los que los niños o niñas son de edad similar).</w:t>
      </w:r>
    </w:p>
    <w:p w14:paraId="5C066C26" w14:textId="77777777" w:rsidR="00C86FC1" w:rsidRPr="000A7D1C" w:rsidRDefault="00C86FC1" w:rsidP="000A7D1C">
      <w:pPr>
        <w:spacing w:after="0" w:line="276" w:lineRule="auto"/>
        <w:jc w:val="both"/>
        <w:rPr>
          <w:rFonts w:ascii="Calibri" w:eastAsia="Calibri" w:hAnsi="Calibri" w:cs="Calibri"/>
          <w:color w:val="000000"/>
          <w:lang w:val="es-ES"/>
        </w:rPr>
      </w:pPr>
    </w:p>
    <w:p w14:paraId="15EA652B" w14:textId="77777777" w:rsidR="000A7D1C" w:rsidRDefault="00C86FC1" w:rsidP="000A7D1C">
      <w:pPr>
        <w:spacing w:after="0" w:line="276" w:lineRule="auto"/>
        <w:jc w:val="both"/>
        <w:rPr>
          <w:rFonts w:ascii="Calibri" w:eastAsia="Calibri" w:hAnsi="Calibri" w:cs="Calibri"/>
          <w:color w:val="000000"/>
          <w:lang w:val="es-ES"/>
        </w:rPr>
      </w:pPr>
      <w:r w:rsidRPr="000A7D1C">
        <w:rPr>
          <w:rFonts w:ascii="Calibri" w:eastAsia="Calibri" w:hAnsi="Calibri" w:cs="Calibri"/>
          <w:color w:val="000000"/>
          <w:lang w:val="es-ES"/>
        </w:rPr>
        <w:t xml:space="preserve">Los niños, niñas o adolescentes pueden recibir apoyo o supervisión de un miembro de la comunidad, de un </w:t>
      </w:r>
      <w:r w:rsidRPr="000A7D1C">
        <w:rPr>
          <w:rFonts w:ascii="Calibri" w:eastAsia="Calibri" w:hAnsi="Calibri" w:cs="Calibri"/>
          <w:b/>
          <w:bCs/>
          <w:color w:val="000000"/>
          <w:lang w:val="es-ES"/>
        </w:rPr>
        <w:t>mentor</w:t>
      </w:r>
      <w:r w:rsidRPr="000A7D1C">
        <w:rPr>
          <w:rFonts w:ascii="Calibri" w:eastAsia="Calibri" w:hAnsi="Calibri" w:cs="Calibri"/>
          <w:color w:val="000000"/>
          <w:lang w:val="es-ES"/>
        </w:rPr>
        <w:t xml:space="preserve"> especialmente designado y capacitado (quien puede, a su vez, estar supervisado por un trabajador o trabajadora social) y/o directamente de un trabajador o trabajadora social.</w:t>
      </w:r>
    </w:p>
    <w:p w14:paraId="7135DDF1" w14:textId="77AF29FA" w:rsidR="00DA58B9" w:rsidRPr="000A7D1C" w:rsidRDefault="00C86FC1" w:rsidP="000A7D1C">
      <w:pPr>
        <w:spacing w:after="0" w:line="276" w:lineRule="auto"/>
        <w:jc w:val="both"/>
        <w:rPr>
          <w:lang w:val="es-ES"/>
        </w:rPr>
      </w:pPr>
      <w:r w:rsidRPr="000A7D1C">
        <w:rPr>
          <w:rFonts w:ascii="Calibri" w:eastAsia="Calibri" w:hAnsi="Calibri" w:cs="Calibri"/>
          <w:color w:val="000000"/>
          <w:lang w:val="es-ES"/>
        </w:rPr>
        <w:br/>
        <w:t>Esta puede constituir una modalidad de cuidado eficaz para aquellos niños o niñas para quienes resulta difícil encontrar una familia de acogida (por ejemplo, adolescentes varones) y/o para quienes tienen dificultades para adaptarse a un entorno familiar.</w:t>
      </w:r>
    </w:p>
    <w:p w14:paraId="3A906063" w14:textId="77777777" w:rsidR="00DA58B9" w:rsidRPr="000A7D1C" w:rsidRDefault="00DA58B9">
      <w:pPr>
        <w:spacing w:after="0" w:line="240" w:lineRule="auto"/>
        <w:rPr>
          <w:lang w:val="es-ES"/>
        </w:rPr>
      </w:pPr>
    </w:p>
    <w:p w14:paraId="4FCE76ED" w14:textId="00C2C94B" w:rsidR="00DA58B9" w:rsidRPr="000A7D1C" w:rsidRDefault="00C86FC1">
      <w:pPr>
        <w:spacing w:after="0" w:line="240" w:lineRule="auto"/>
        <w:rPr>
          <w:b/>
          <w:color w:val="97467C" w:themeColor="accent2"/>
          <w:sz w:val="24"/>
          <w:szCs w:val="24"/>
          <w:lang w:val="es-ES"/>
        </w:rPr>
      </w:pPr>
      <w:r w:rsidRPr="000A7D1C">
        <w:rPr>
          <w:rFonts w:ascii="Calibri" w:eastAsia="Calibri" w:hAnsi="Calibri" w:cs="Calibri"/>
          <w:b/>
          <w:color w:val="97467C" w:themeColor="accent2"/>
          <w:sz w:val="24"/>
          <w:szCs w:val="24"/>
          <w:lang w:val="es-ES"/>
        </w:rPr>
        <w:t xml:space="preserve">Puntos clave: </w:t>
      </w:r>
    </w:p>
    <w:p w14:paraId="3EB54E72" w14:textId="10E94CE5" w:rsidR="00DA58B9" w:rsidRPr="000A7D1C" w:rsidRDefault="00D07A58">
      <w:pPr>
        <w:numPr>
          <w:ilvl w:val="0"/>
          <w:numId w:val="2"/>
        </w:numPr>
        <w:pBdr>
          <w:top w:val="nil"/>
          <w:left w:val="nil"/>
          <w:bottom w:val="nil"/>
          <w:right w:val="nil"/>
          <w:between w:val="nil"/>
        </w:pBdr>
        <w:spacing w:after="0" w:line="240" w:lineRule="auto"/>
        <w:rPr>
          <w:lang w:val="es-ES"/>
        </w:rPr>
      </w:pPr>
      <w:r w:rsidRPr="000A7D1C">
        <w:rPr>
          <w:rFonts w:ascii="Calibri" w:eastAsia="Calibri" w:hAnsi="Calibri" w:cs="Calibri"/>
          <w:color w:val="000000"/>
          <w:lang w:val="es-ES"/>
        </w:rPr>
        <w:t xml:space="preserve">El niño, niña o los niños, niñas viven sin el cuidado permanente de un adulto. </w:t>
      </w:r>
    </w:p>
    <w:p w14:paraId="4C8F37EA" w14:textId="02A277C3" w:rsidR="00DA58B9" w:rsidRPr="000A7D1C" w:rsidRDefault="00D07A58">
      <w:pPr>
        <w:numPr>
          <w:ilvl w:val="0"/>
          <w:numId w:val="2"/>
        </w:numPr>
        <w:pBdr>
          <w:top w:val="nil"/>
          <w:left w:val="nil"/>
          <w:bottom w:val="nil"/>
          <w:right w:val="nil"/>
          <w:between w:val="nil"/>
        </w:pBdr>
        <w:spacing w:after="0" w:line="240" w:lineRule="auto"/>
        <w:rPr>
          <w:lang w:val="es-ES"/>
        </w:rPr>
      </w:pPr>
      <w:r w:rsidRPr="000A7D1C">
        <w:rPr>
          <w:rFonts w:ascii="Calibri" w:eastAsia="Calibri" w:hAnsi="Calibri" w:cs="Calibri"/>
          <w:color w:val="000000"/>
          <w:lang w:val="es-ES"/>
        </w:rPr>
        <w:t>Es adecuada para niños, niñas o adolescentes de no menos de 15 años de edad, salvo en el caso de menores de menor edad que vivan con un hermano o hermana de 15 años o más, cuando ello sea en su interés superior.</w:t>
      </w:r>
    </w:p>
    <w:p w14:paraId="2D60F74E" w14:textId="1C2A4520" w:rsidR="00DA58B9" w:rsidRPr="000A7D1C" w:rsidRDefault="00D07A58">
      <w:pPr>
        <w:numPr>
          <w:ilvl w:val="0"/>
          <w:numId w:val="2"/>
        </w:numPr>
        <w:pBdr>
          <w:top w:val="nil"/>
          <w:left w:val="nil"/>
          <w:bottom w:val="nil"/>
          <w:right w:val="nil"/>
          <w:between w:val="nil"/>
        </w:pBdr>
        <w:spacing w:after="0" w:line="240" w:lineRule="auto"/>
        <w:rPr>
          <w:lang w:val="es-ES"/>
        </w:rPr>
      </w:pPr>
      <w:r w:rsidRPr="000A7D1C">
        <w:rPr>
          <w:lang w:val="es-ES"/>
        </w:rPr>
        <w:t>L</w:t>
      </w:r>
      <w:r w:rsidRPr="000A7D1C">
        <w:rPr>
          <w:rFonts w:ascii="Calibri" w:eastAsia="Calibri" w:hAnsi="Calibri" w:cs="Calibri"/>
          <w:color w:val="000000"/>
          <w:lang w:val="es-ES"/>
        </w:rPr>
        <w:t xml:space="preserve">os arreglos pueden surgir de manera espontánea o ser organizados por un actor externo. </w:t>
      </w:r>
    </w:p>
    <w:p w14:paraId="7BFC495E" w14:textId="77777777" w:rsidR="00DA58B9" w:rsidRPr="000A7D1C" w:rsidRDefault="00DA58B9">
      <w:pPr>
        <w:pBdr>
          <w:top w:val="nil"/>
          <w:left w:val="nil"/>
          <w:bottom w:val="nil"/>
          <w:right w:val="nil"/>
          <w:between w:val="nil"/>
        </w:pBdr>
        <w:spacing w:after="0" w:line="240" w:lineRule="auto"/>
        <w:ind w:left="720"/>
        <w:rPr>
          <w:color w:val="000000"/>
          <w:lang w:val="es-ES"/>
        </w:rPr>
      </w:pPr>
    </w:p>
    <w:p w14:paraId="189799C8" w14:textId="617933CC" w:rsidR="00DA58B9" w:rsidRPr="000A7D1C" w:rsidRDefault="001222A1">
      <w:pPr>
        <w:pStyle w:val="Heading2"/>
        <w:rPr>
          <w:lang w:val="es-ES"/>
        </w:rPr>
      </w:pPr>
      <w:r w:rsidRPr="000A7D1C">
        <w:rPr>
          <w:lang w:val="es-ES"/>
        </w:rPr>
        <w:t>Mentor/a</w:t>
      </w:r>
    </w:p>
    <w:p w14:paraId="67FAFD78" w14:textId="77777777" w:rsidR="00DA0DDB" w:rsidRPr="000A7D1C" w:rsidRDefault="00DA0DDB">
      <w:pPr>
        <w:numPr>
          <w:ilvl w:val="0"/>
          <w:numId w:val="3"/>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Adulto/a capacitado/a y de confianza, designado/a o que asume la responsabilidad de proporcionar orientación y apoyo a un niño, niña o grupo de niños, niñas o adolescentes (adaptado de las </w:t>
      </w:r>
      <w:r w:rsidRPr="000A7D1C">
        <w:rPr>
          <w:rFonts w:ascii="Calibri" w:eastAsia="Calibri" w:hAnsi="Calibri" w:cs="Calibri"/>
          <w:i/>
          <w:iCs/>
          <w:color w:val="000000"/>
          <w:lang w:val="es-ES"/>
        </w:rPr>
        <w:t>Directrices sobre vida independiente supervisada para niños no acompañados</w:t>
      </w:r>
      <w:r w:rsidRPr="000A7D1C">
        <w:rPr>
          <w:rFonts w:ascii="Calibri" w:eastAsia="Calibri" w:hAnsi="Calibri" w:cs="Calibri"/>
          <w:color w:val="000000"/>
          <w:lang w:val="es-ES"/>
        </w:rPr>
        <w:t>, ACNUR, 2019).</w:t>
      </w:r>
    </w:p>
    <w:p w14:paraId="53E17F40" w14:textId="77777777" w:rsidR="00DA0DDB" w:rsidRPr="000A7D1C" w:rsidRDefault="00DA0DDB">
      <w:pPr>
        <w:numPr>
          <w:ilvl w:val="0"/>
          <w:numId w:val="3"/>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 El mentor o la mentora suele ser una persona más experimentada o con mayores conocimientos dentro de la comunidad, posiblemente miembro de un grupo comunitario, o en algunos casos puede ser contratado/a por las autoridades locales.</w:t>
      </w:r>
    </w:p>
    <w:p w14:paraId="04DD430F" w14:textId="77777777" w:rsidR="00DA0DDB" w:rsidRPr="000A7D1C" w:rsidRDefault="00DA0DDB">
      <w:pPr>
        <w:numPr>
          <w:ilvl w:val="0"/>
          <w:numId w:val="3"/>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 El mentor o la mentora ayuda al niño o niña a afrontar los desafíos cotidianos, le brinda el apoyo y cuidado adecuados, y lo vincula con oportunidades de crecimiento y desarrollo personal, así como con oportunidades sociales y económicas.</w:t>
      </w:r>
    </w:p>
    <w:p w14:paraId="37F7FCEB" w14:textId="77777777" w:rsidR="00DA0DDB" w:rsidRPr="000A7D1C" w:rsidRDefault="00DA0DDB">
      <w:pPr>
        <w:numPr>
          <w:ilvl w:val="0"/>
          <w:numId w:val="3"/>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 Los mentores o mentoras generalmente </w:t>
      </w:r>
      <w:r w:rsidRPr="000A7D1C">
        <w:rPr>
          <w:rFonts w:ascii="Calibri" w:eastAsia="Calibri" w:hAnsi="Calibri" w:cs="Calibri"/>
          <w:b/>
          <w:bCs/>
          <w:color w:val="000000"/>
          <w:lang w:val="es-ES"/>
        </w:rPr>
        <w:t>no viven con los niños o niñas</w:t>
      </w:r>
      <w:r w:rsidRPr="000A7D1C">
        <w:rPr>
          <w:rFonts w:ascii="Calibri" w:eastAsia="Calibri" w:hAnsi="Calibri" w:cs="Calibri"/>
          <w:color w:val="000000"/>
          <w:lang w:val="es-ES"/>
        </w:rPr>
        <w:t>, pero los visitan regularmente y les proporcionan el apoyo necesario.</w:t>
      </w:r>
    </w:p>
    <w:p w14:paraId="5E3EAB6F" w14:textId="77777777" w:rsidR="00DA0DDB" w:rsidRPr="000A7D1C" w:rsidRDefault="00DA0DDB">
      <w:pPr>
        <w:numPr>
          <w:ilvl w:val="0"/>
          <w:numId w:val="3"/>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lastRenderedPageBreak/>
        <w:t xml:space="preserve"> El mentor o la mentora </w:t>
      </w:r>
      <w:r w:rsidRPr="000A7D1C">
        <w:rPr>
          <w:rFonts w:ascii="Calibri" w:eastAsia="Calibri" w:hAnsi="Calibri" w:cs="Calibri"/>
          <w:b/>
          <w:bCs/>
          <w:color w:val="000000"/>
          <w:lang w:val="es-ES"/>
        </w:rPr>
        <w:t>no tiene responsabilidad legal</w:t>
      </w:r>
      <w:r w:rsidRPr="000A7D1C">
        <w:rPr>
          <w:rFonts w:ascii="Calibri" w:eastAsia="Calibri" w:hAnsi="Calibri" w:cs="Calibri"/>
          <w:color w:val="000000"/>
          <w:lang w:val="es-ES"/>
        </w:rPr>
        <w:t xml:space="preserve"> sobre el niño, niña o adolescentes bajo su orientación, y es poco probable que figure en las leyes nacionales.</w:t>
      </w:r>
    </w:p>
    <w:p w14:paraId="752E6F72" w14:textId="77777777" w:rsidR="00DA0DDB" w:rsidRPr="000A7D1C" w:rsidRDefault="00DA0DDB">
      <w:pPr>
        <w:numPr>
          <w:ilvl w:val="0"/>
          <w:numId w:val="3"/>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 No debe confundirse la figura del mentor o mentora con la del </w:t>
      </w:r>
      <w:r w:rsidRPr="000A7D1C">
        <w:rPr>
          <w:rFonts w:ascii="Calibri" w:eastAsia="Calibri" w:hAnsi="Calibri" w:cs="Calibri"/>
          <w:b/>
          <w:bCs/>
          <w:color w:val="000000"/>
          <w:lang w:val="es-ES"/>
        </w:rPr>
        <w:t>tutor o tutora</w:t>
      </w:r>
      <w:r w:rsidRPr="000A7D1C">
        <w:rPr>
          <w:rFonts w:ascii="Calibri" w:eastAsia="Calibri" w:hAnsi="Calibri" w:cs="Calibri"/>
          <w:color w:val="000000"/>
          <w:lang w:val="es-ES"/>
        </w:rPr>
        <w:t>, quien normalmente es designado/a por las jurisdicciones nacionales para salvaguardar el interés superior y el bienestar general del niño o niña.</w:t>
      </w:r>
    </w:p>
    <w:p w14:paraId="30F40894" w14:textId="3EB3075E" w:rsidR="00DA58B9" w:rsidRPr="000A7D1C" w:rsidRDefault="00DA0DDB">
      <w:pPr>
        <w:numPr>
          <w:ilvl w:val="0"/>
          <w:numId w:val="3"/>
        </w:numPr>
        <w:pBdr>
          <w:top w:val="nil"/>
          <w:left w:val="nil"/>
          <w:bottom w:val="nil"/>
          <w:right w:val="nil"/>
          <w:between w:val="nil"/>
        </w:pBdr>
        <w:spacing w:after="0" w:line="276" w:lineRule="auto"/>
        <w:rPr>
          <w:lang w:val="es-ES"/>
        </w:rPr>
      </w:pPr>
      <w:r w:rsidRPr="000A7D1C">
        <w:rPr>
          <w:rFonts w:ascii="Calibri" w:eastAsia="Calibri" w:hAnsi="Calibri" w:cs="Calibri"/>
          <w:color w:val="000000"/>
          <w:lang w:val="es-ES"/>
        </w:rPr>
        <w:t xml:space="preserve"> Cuando exista tanto un mentor o mentora como un tutor o tutora, es importante que mantengan comunicación entre sí, a fin de garantizar que transmitan mensajes coherentes al niño, niña o grupo de niños y niñas.</w:t>
      </w:r>
    </w:p>
    <w:p w14:paraId="4F41E81E" w14:textId="77777777" w:rsidR="00DA58B9" w:rsidRPr="000A7D1C" w:rsidRDefault="00DA58B9">
      <w:pPr>
        <w:rPr>
          <w:sz w:val="36"/>
          <w:szCs w:val="36"/>
          <w:lang w:val="es-ES"/>
        </w:rPr>
      </w:pPr>
    </w:p>
    <w:sectPr w:rsidR="00DA58B9" w:rsidRPr="000A7D1C">
      <w:headerReference w:type="default" r:id="rId11"/>
      <w:footerReference w:type="even" r:id="rId12"/>
      <w:footerReference w:type="default" r:id="rId13"/>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D77A8" w14:textId="77777777" w:rsidR="003A272A" w:rsidRDefault="003A272A">
      <w:pPr>
        <w:spacing w:after="0" w:line="240" w:lineRule="auto"/>
      </w:pPr>
      <w:r>
        <w:separator/>
      </w:r>
    </w:p>
  </w:endnote>
  <w:endnote w:type="continuationSeparator" w:id="0">
    <w:p w14:paraId="6D8F67B4" w14:textId="77777777" w:rsidR="003A272A" w:rsidRDefault="003A2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 Neue Medium">
    <w:altName w:val="Arial"/>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88827607"/>
      <w:docPartObj>
        <w:docPartGallery w:val="Page Numbers (Bottom of Page)"/>
        <w:docPartUnique/>
      </w:docPartObj>
    </w:sdtPr>
    <w:sdtContent>
      <w:p w14:paraId="06D6C3AE" w14:textId="22FDBD33" w:rsidR="00D91FCE" w:rsidRDefault="00D91FCE" w:rsidP="002F24B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49B59F3" w14:textId="77777777" w:rsidR="00D91FCE" w:rsidRDefault="00D91FCE" w:rsidP="00D91F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1054341"/>
      <w:docPartObj>
        <w:docPartGallery w:val="Page Numbers (Bottom of Page)"/>
        <w:docPartUnique/>
      </w:docPartObj>
    </w:sdtPr>
    <w:sdtContent>
      <w:p w14:paraId="10B1427A" w14:textId="059F17B5" w:rsidR="00D91FCE" w:rsidRDefault="00D91FCE" w:rsidP="002F24B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9D9030" w14:textId="77777777" w:rsidR="00D91FCE" w:rsidRDefault="00D91FCE" w:rsidP="00D91F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97546" w14:textId="77777777" w:rsidR="003A272A" w:rsidRDefault="003A272A">
      <w:pPr>
        <w:spacing w:after="0" w:line="240" w:lineRule="auto"/>
      </w:pPr>
      <w:r>
        <w:separator/>
      </w:r>
    </w:p>
  </w:footnote>
  <w:footnote w:type="continuationSeparator" w:id="0">
    <w:p w14:paraId="7BABCE50" w14:textId="77777777" w:rsidR="003A272A" w:rsidRDefault="003A27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7211" w14:textId="3222F072" w:rsidR="00DA58B9" w:rsidRPr="000A7D1C" w:rsidRDefault="000A7D1C">
    <w:pPr>
      <w:pBdr>
        <w:top w:val="nil"/>
        <w:left w:val="nil"/>
        <w:bottom w:val="nil"/>
        <w:right w:val="nil"/>
        <w:between w:val="nil"/>
      </w:pBdr>
      <w:tabs>
        <w:tab w:val="center" w:pos="4680"/>
        <w:tab w:val="right" w:pos="9360"/>
      </w:tabs>
      <w:spacing w:after="0" w:line="240" w:lineRule="auto"/>
      <w:rPr>
        <w:rFonts w:asciiTheme="minorHAnsi" w:hAnsiTheme="minorHAnsi" w:cstheme="minorHAnsi"/>
        <w:color w:val="000000"/>
        <w:sz w:val="20"/>
        <w:szCs w:val="20"/>
        <w:lang w:val="es-ES"/>
      </w:rPr>
    </w:pPr>
    <w:r w:rsidRPr="000A7D1C">
      <w:rPr>
        <w:rFonts w:asciiTheme="minorHAnsi" w:hAnsiTheme="minorHAnsi" w:cstheme="minorHAnsi"/>
        <w:noProof/>
        <w:color w:val="000000"/>
        <w:sz w:val="20"/>
        <w:szCs w:val="20"/>
        <w:lang w:val="es-ES"/>
      </w:rPr>
      <w:drawing>
        <wp:anchor distT="0" distB="0" distL="114300" distR="114300" simplePos="0" relativeHeight="251658240" behindDoc="1" locked="0" layoutInCell="1" allowOverlap="1" wp14:anchorId="3C25E57E" wp14:editId="03D48969">
          <wp:simplePos x="0" y="0"/>
          <wp:positionH relativeFrom="column">
            <wp:posOffset>4402894</wp:posOffset>
          </wp:positionH>
          <wp:positionV relativeFrom="paragraph">
            <wp:posOffset>-437857</wp:posOffset>
          </wp:positionV>
          <wp:extent cx="2399731" cy="911539"/>
          <wp:effectExtent l="0" t="0" r="0" b="0"/>
          <wp:wrapNone/>
          <wp:docPr id="977175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175709" name="Picture 977175709"/>
                  <pic:cNvPicPr/>
                </pic:nvPicPr>
                <pic:blipFill>
                  <a:blip r:embed="rId1">
                    <a:extLst>
                      <a:ext uri="{28A0092B-C50C-407E-A947-70E740481C1C}">
                        <a14:useLocalDpi xmlns:a14="http://schemas.microsoft.com/office/drawing/2010/main" val="0"/>
                      </a:ext>
                    </a:extLst>
                  </a:blip>
                  <a:stretch>
                    <a:fillRect/>
                  </a:stretch>
                </pic:blipFill>
                <pic:spPr>
                  <a:xfrm>
                    <a:off x="0" y="0"/>
                    <a:ext cx="2424136" cy="920809"/>
                  </a:xfrm>
                  <a:prstGeom prst="rect">
                    <a:avLst/>
                  </a:prstGeom>
                </pic:spPr>
              </pic:pic>
            </a:graphicData>
          </a:graphic>
          <wp14:sizeRelH relativeFrom="page">
            <wp14:pctWidth>0</wp14:pctWidth>
          </wp14:sizeRelH>
          <wp14:sizeRelV relativeFrom="page">
            <wp14:pctHeight>0</wp14:pctHeight>
          </wp14:sizeRelV>
        </wp:anchor>
      </w:drawing>
    </w:r>
    <w:r w:rsidRPr="000A7D1C">
      <w:rPr>
        <w:rFonts w:asciiTheme="minorHAnsi" w:hAnsiTheme="minorHAnsi" w:cstheme="minorHAnsi"/>
        <w:color w:val="000000"/>
        <w:sz w:val="20"/>
        <w:szCs w:val="20"/>
        <w:lang w:val="es-ES"/>
      </w:rPr>
      <w:t>Formación de formadores sobre menores no acompañados y separados</w:t>
    </w:r>
  </w:p>
  <w:p w14:paraId="58FEB5A4" w14:textId="18134490" w:rsidR="00DA58B9" w:rsidRPr="000A7D1C" w:rsidRDefault="00841D49">
    <w:pPr>
      <w:pBdr>
        <w:top w:val="nil"/>
        <w:left w:val="nil"/>
        <w:bottom w:val="nil"/>
        <w:right w:val="nil"/>
        <w:between w:val="nil"/>
      </w:pBdr>
      <w:tabs>
        <w:tab w:val="center" w:pos="4680"/>
        <w:tab w:val="right" w:pos="9360"/>
      </w:tabs>
      <w:spacing w:after="0" w:line="240" w:lineRule="auto"/>
      <w:rPr>
        <w:rFonts w:asciiTheme="minorHAnsi" w:hAnsiTheme="minorHAnsi" w:cstheme="minorHAnsi"/>
        <w:color w:val="000000"/>
        <w:sz w:val="20"/>
        <w:szCs w:val="20"/>
        <w:lang w:val="es-ES"/>
      </w:rPr>
    </w:pPr>
    <w:proofErr w:type="spellStart"/>
    <w:r w:rsidRPr="00841D49">
      <w:rPr>
        <w:rFonts w:asciiTheme="minorHAnsi" w:hAnsiTheme="minorHAnsi" w:cstheme="minorHAnsi"/>
        <w:color w:val="000000"/>
        <w:sz w:val="20"/>
        <w:szCs w:val="20"/>
      </w:rPr>
      <w:t>Módulo</w:t>
    </w:r>
    <w:proofErr w:type="spellEnd"/>
    <w:r w:rsidR="00000000" w:rsidRPr="000A7D1C">
      <w:rPr>
        <w:rFonts w:asciiTheme="minorHAnsi" w:hAnsiTheme="minorHAnsi" w:cstheme="minorHAnsi"/>
        <w:color w:val="000000"/>
        <w:sz w:val="20"/>
        <w:szCs w:val="20"/>
        <w:lang w:val="es-ES"/>
      </w:rPr>
      <w:t xml:space="preserve"> 3.3 – </w:t>
    </w:r>
    <w:r w:rsidR="009D0222" w:rsidRPr="000A7D1C">
      <w:rPr>
        <w:rFonts w:asciiTheme="minorHAnsi" w:hAnsiTheme="minorHAnsi" w:cstheme="minorHAnsi"/>
        <w:color w:val="000000"/>
        <w:sz w:val="20"/>
        <w:szCs w:val="20"/>
        <w:lang w:val="es-ES"/>
      </w:rPr>
      <w:t>T</w:t>
    </w:r>
    <w:r w:rsidR="000A7D1C" w:rsidRPr="000A7D1C">
      <w:rPr>
        <w:rFonts w:asciiTheme="minorHAnsi" w:hAnsiTheme="minorHAnsi" w:cstheme="minorHAnsi"/>
        <w:color w:val="000000"/>
        <w:sz w:val="20"/>
        <w:szCs w:val="20"/>
        <w:lang w:val="es-ES"/>
      </w:rPr>
      <w:t>ipos de Cuidado alternativo</w:t>
    </w:r>
  </w:p>
  <w:p w14:paraId="3E8B28A6" w14:textId="77777777" w:rsidR="00DA58B9" w:rsidRDefault="00DA58B9">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E16AF"/>
    <w:multiLevelType w:val="multilevel"/>
    <w:tmpl w:val="F9E8C4AC"/>
    <w:lvl w:ilvl="0">
      <w:start w:val="1"/>
      <w:numFmt w:val="bullet"/>
      <w:lvlText w:val="●"/>
      <w:lvlJc w:val="left"/>
      <w:pPr>
        <w:ind w:left="720" w:hanging="360"/>
      </w:pPr>
      <w:rPr>
        <w:rFonts w:ascii="Noto Sans Symbols" w:eastAsia="Noto Sans Symbols" w:hAnsi="Noto Sans Symbols" w:cs="Noto Sans Symbols"/>
        <w:color w:val="0070C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EB18FF"/>
    <w:multiLevelType w:val="multilevel"/>
    <w:tmpl w:val="4246E25C"/>
    <w:lvl w:ilvl="0">
      <w:start w:val="1"/>
      <w:numFmt w:val="bullet"/>
      <w:pStyle w:val="ListBullet"/>
      <w:lvlText w:val="●"/>
      <w:lvlJc w:val="left"/>
      <w:pPr>
        <w:ind w:left="720" w:hanging="360"/>
      </w:pPr>
      <w:rPr>
        <w:rFonts w:ascii="Noto Sans Symbols" w:eastAsia="Noto Sans Symbols" w:hAnsi="Noto Sans Symbols" w:cs="Noto Sans Symbols"/>
        <w:color w:val="0070C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1A0482A"/>
    <w:multiLevelType w:val="multilevel"/>
    <w:tmpl w:val="8D3CE03E"/>
    <w:lvl w:ilvl="0">
      <w:start w:val="1"/>
      <w:numFmt w:val="bullet"/>
      <w:lvlText w:val="●"/>
      <w:lvlJc w:val="left"/>
      <w:pPr>
        <w:ind w:left="720" w:hanging="360"/>
      </w:pPr>
      <w:rPr>
        <w:rFonts w:ascii="Noto Sans Symbols" w:eastAsia="Noto Sans Symbols" w:hAnsi="Noto Sans Symbols" w:cs="Noto Sans Symbols"/>
        <w:color w:val="0070C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9B59D9"/>
    <w:multiLevelType w:val="hybridMultilevel"/>
    <w:tmpl w:val="45B24280"/>
    <w:lvl w:ilvl="0" w:tplc="FE6E80D2">
      <w:numFmt w:val="bullet"/>
      <w:lvlText w:val="-"/>
      <w:lvlJc w:val="left"/>
      <w:pPr>
        <w:ind w:left="1080" w:hanging="360"/>
      </w:pPr>
      <w:rPr>
        <w:rFonts w:ascii="Arial" w:eastAsia="Helvetica Neue Light" w:hAnsi="Arial" w:cs="Arial" w:hint="default"/>
        <w:color w:val="2222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9C22A7C"/>
    <w:multiLevelType w:val="hybridMultilevel"/>
    <w:tmpl w:val="A7BC5C46"/>
    <w:lvl w:ilvl="0" w:tplc="C4AC909C">
      <w:start w:val="1"/>
      <w:numFmt w:val="bullet"/>
      <w:lvlText w:val=""/>
      <w:lvlJc w:val="left"/>
      <w:pPr>
        <w:ind w:left="1080" w:hanging="360"/>
      </w:pPr>
      <w:rPr>
        <w:rFonts w:ascii="Symbol" w:hAnsi="Symbol" w:hint="default"/>
        <w:color w:val="0070C0"/>
        <w:w w:val="131"/>
        <w:sz w:val="22"/>
        <w:szCs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2E3D1D7C"/>
    <w:multiLevelType w:val="multilevel"/>
    <w:tmpl w:val="ABE84D62"/>
    <w:lvl w:ilvl="0">
      <w:start w:val="1"/>
      <w:numFmt w:val="bullet"/>
      <w:lvlText w:val="●"/>
      <w:lvlJc w:val="left"/>
      <w:pPr>
        <w:ind w:left="720" w:hanging="360"/>
      </w:pPr>
      <w:rPr>
        <w:rFonts w:ascii="Noto Sans Symbols" w:eastAsia="Noto Sans Symbols" w:hAnsi="Noto Sans Symbols" w:cs="Noto Sans Symbols"/>
        <w:color w:val="0070C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6FF127C"/>
    <w:multiLevelType w:val="hybridMultilevel"/>
    <w:tmpl w:val="679E93C6"/>
    <w:lvl w:ilvl="0" w:tplc="FE6E80D2">
      <w:numFmt w:val="bullet"/>
      <w:lvlText w:val="-"/>
      <w:lvlJc w:val="left"/>
      <w:pPr>
        <w:ind w:left="720" w:hanging="360"/>
      </w:pPr>
      <w:rPr>
        <w:rFonts w:ascii="Arial" w:eastAsia="Helvetica Neue Light" w:hAnsi="Arial" w:cs="Arial" w:hint="default"/>
        <w:color w:val="2222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F41685"/>
    <w:multiLevelType w:val="multilevel"/>
    <w:tmpl w:val="655C1122"/>
    <w:lvl w:ilvl="0">
      <w:start w:val="1"/>
      <w:numFmt w:val="bullet"/>
      <w:lvlText w:val="●"/>
      <w:lvlJc w:val="left"/>
      <w:pPr>
        <w:ind w:left="720" w:hanging="360"/>
      </w:pPr>
      <w:rPr>
        <w:rFonts w:ascii="Noto Sans Symbols" w:eastAsia="Noto Sans Symbols" w:hAnsi="Noto Sans Symbols" w:cs="Noto Sans Symbols"/>
        <w:color w:val="0070C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481588"/>
    <w:multiLevelType w:val="multilevel"/>
    <w:tmpl w:val="6BFAAC66"/>
    <w:lvl w:ilvl="0">
      <w:start w:val="1"/>
      <w:numFmt w:val="bullet"/>
      <w:lvlText w:val="●"/>
      <w:lvlJc w:val="left"/>
      <w:pPr>
        <w:ind w:left="720" w:hanging="360"/>
      </w:pPr>
      <w:rPr>
        <w:rFonts w:ascii="Noto Sans Symbols" w:eastAsia="Noto Sans Symbols" w:hAnsi="Noto Sans Symbols" w:cs="Noto Sans Symbols"/>
        <w:color w:val="0070C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D8D6D46"/>
    <w:multiLevelType w:val="multilevel"/>
    <w:tmpl w:val="DED8C32A"/>
    <w:lvl w:ilvl="0">
      <w:start w:val="1"/>
      <w:numFmt w:val="bullet"/>
      <w:lvlText w:val="●"/>
      <w:lvlJc w:val="left"/>
      <w:pPr>
        <w:ind w:left="720" w:hanging="360"/>
      </w:pPr>
      <w:rPr>
        <w:rFonts w:ascii="Noto Sans Symbols" w:eastAsia="Noto Sans Symbols" w:hAnsi="Noto Sans Symbols" w:cs="Noto Sans Symbols"/>
        <w:color w:val="0070C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63540453">
    <w:abstractNumId w:val="8"/>
  </w:num>
  <w:num w:numId="2" w16cid:durableId="285280582">
    <w:abstractNumId w:val="7"/>
  </w:num>
  <w:num w:numId="3" w16cid:durableId="594703204">
    <w:abstractNumId w:val="1"/>
  </w:num>
  <w:num w:numId="4" w16cid:durableId="243270941">
    <w:abstractNumId w:val="0"/>
  </w:num>
  <w:num w:numId="5" w16cid:durableId="345326120">
    <w:abstractNumId w:val="2"/>
  </w:num>
  <w:num w:numId="6" w16cid:durableId="1567447960">
    <w:abstractNumId w:val="9"/>
  </w:num>
  <w:num w:numId="7" w16cid:durableId="245847571">
    <w:abstractNumId w:val="5"/>
  </w:num>
  <w:num w:numId="8" w16cid:durableId="1229850673">
    <w:abstractNumId w:val="6"/>
  </w:num>
  <w:num w:numId="9" w16cid:durableId="692655599">
    <w:abstractNumId w:val="3"/>
  </w:num>
  <w:num w:numId="10" w16cid:durableId="503981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8B9"/>
    <w:rsid w:val="000A7D1C"/>
    <w:rsid w:val="001004EA"/>
    <w:rsid w:val="001222A1"/>
    <w:rsid w:val="002328DC"/>
    <w:rsid w:val="00276502"/>
    <w:rsid w:val="003A272A"/>
    <w:rsid w:val="003B569C"/>
    <w:rsid w:val="00467B8D"/>
    <w:rsid w:val="0047693B"/>
    <w:rsid w:val="00492B40"/>
    <w:rsid w:val="00651C91"/>
    <w:rsid w:val="0068784A"/>
    <w:rsid w:val="006F6011"/>
    <w:rsid w:val="00841D49"/>
    <w:rsid w:val="008539C7"/>
    <w:rsid w:val="00862FE4"/>
    <w:rsid w:val="0089155A"/>
    <w:rsid w:val="008D6DDC"/>
    <w:rsid w:val="009065F2"/>
    <w:rsid w:val="0092490B"/>
    <w:rsid w:val="009D0222"/>
    <w:rsid w:val="00C4766D"/>
    <w:rsid w:val="00C86FC1"/>
    <w:rsid w:val="00C95CB4"/>
    <w:rsid w:val="00D0079E"/>
    <w:rsid w:val="00D07A58"/>
    <w:rsid w:val="00D24B5A"/>
    <w:rsid w:val="00D91FCE"/>
    <w:rsid w:val="00DA0DDB"/>
    <w:rsid w:val="00DA58B9"/>
    <w:rsid w:val="00ED200B"/>
    <w:rsid w:val="00FC26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AB4CD"/>
  <w15:docId w15:val="{BA4B4E5F-1E9E-4F1F-ABEA-EF85283C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2"/>
        <w:szCs w:val="22"/>
        <w:lang w:val="en-US" w:eastAsia="en-GB" w:bidi="ar-SA"/>
      </w:rPr>
    </w:rPrDefault>
    <w:pPrDefault>
      <w:pPr>
        <w:spacing w:after="20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8E8"/>
  </w:style>
  <w:style w:type="paragraph" w:styleId="Heading1">
    <w:name w:val="heading 1"/>
    <w:basedOn w:val="Normal"/>
    <w:next w:val="Normal"/>
    <w:link w:val="Heading1Char"/>
    <w:uiPriority w:val="9"/>
    <w:qFormat/>
    <w:rsid w:val="00B208E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B208E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semiHidden/>
    <w:unhideWhenUsed/>
    <w:qFormat/>
    <w:rsid w:val="00B208E8"/>
    <w:pPr>
      <w:outlineLvl w:val="2"/>
    </w:pPr>
    <w:rPr>
      <w:color w:val="7F9EBB" w:themeColor="accent1" w:themeTint="99"/>
    </w:rPr>
  </w:style>
  <w:style w:type="paragraph" w:styleId="Heading4">
    <w:name w:val="heading 4"/>
    <w:basedOn w:val="Normal"/>
    <w:next w:val="Normal"/>
    <w:link w:val="Heading4Char"/>
    <w:uiPriority w:val="9"/>
    <w:semiHidden/>
    <w:unhideWhenUsed/>
    <w:qFormat/>
    <w:rsid w:val="00B208E8"/>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semiHidden/>
    <w:unhideWhenUsed/>
    <w:qFormat/>
    <w:rsid w:val="00B208E8"/>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B208E8"/>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B208E8"/>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B208E8"/>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B208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aliases w:val="Title Of Document - Blue BG"/>
    <w:basedOn w:val="Normal"/>
    <w:next w:val="Normal"/>
    <w:link w:val="TitleChar"/>
    <w:uiPriority w:val="10"/>
    <w:qFormat/>
    <w:rsid w:val="00B208E8"/>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paragraph" w:styleId="ListParagraph">
    <w:name w:val="List Paragraph"/>
    <w:basedOn w:val="Normal"/>
    <w:uiPriority w:val="34"/>
    <w:qFormat/>
    <w:rsid w:val="00B208E8"/>
    <w:pPr>
      <w:ind w:left="720"/>
      <w:contextualSpacing/>
    </w:pPr>
  </w:style>
  <w:style w:type="paragraph" w:styleId="Subtitle">
    <w:name w:val="Subtitle"/>
    <w:basedOn w:val="Normal"/>
    <w:next w:val="Normal"/>
    <w:link w:val="SubtitleChar"/>
    <w:uiPriority w:val="11"/>
    <w:qFormat/>
    <w:pPr>
      <w:spacing w:before="240"/>
    </w:pPr>
    <w:rPr>
      <w:rFonts w:ascii="Calibri" w:eastAsia="Calibri" w:hAnsi="Calibri" w:cs="Calibri"/>
      <w:color w:val="405D78"/>
      <w:sz w:val="44"/>
      <w:szCs w:val="44"/>
    </w:rPr>
  </w:style>
  <w:style w:type="paragraph" w:styleId="CommentText">
    <w:name w:val="annotation text"/>
    <w:basedOn w:val="Normal"/>
    <w:link w:val="CommentTextChar"/>
    <w:uiPriority w:val="99"/>
    <w:unhideWhenUsed/>
    <w:rsid w:val="00B208E8"/>
    <w:pPr>
      <w:spacing w:after="0" w:line="240" w:lineRule="auto"/>
    </w:pPr>
    <w:rPr>
      <w:sz w:val="20"/>
      <w:szCs w:val="20"/>
    </w:rPr>
  </w:style>
  <w:style w:type="character" w:customStyle="1" w:styleId="CommentTextChar">
    <w:name w:val="Comment Text Char"/>
    <w:basedOn w:val="DefaultParagraphFont"/>
    <w:link w:val="CommentText"/>
    <w:uiPriority w:val="99"/>
    <w:rsid w:val="00B208E8"/>
    <w:rPr>
      <w:rFonts w:ascii="Helvetica Neue Light" w:eastAsia="Helvetica Neue Light" w:hAnsi="Helvetica Neue Light" w:cs="Helvetica Neue Light"/>
      <w:sz w:val="20"/>
      <w:szCs w:val="20"/>
      <w:lang w:val="en-US"/>
    </w:rPr>
  </w:style>
  <w:style w:type="character" w:styleId="CommentReference">
    <w:name w:val="annotation reference"/>
    <w:basedOn w:val="DefaultParagraphFont"/>
    <w:uiPriority w:val="99"/>
    <w:unhideWhenUsed/>
    <w:rsid w:val="00B208E8"/>
    <w:rPr>
      <w:sz w:val="16"/>
      <w:szCs w:val="16"/>
    </w:rPr>
  </w:style>
  <w:style w:type="paragraph" w:styleId="Header">
    <w:name w:val="header"/>
    <w:basedOn w:val="Normal"/>
    <w:link w:val="HeaderChar"/>
    <w:uiPriority w:val="99"/>
    <w:unhideWhenUsed/>
    <w:rsid w:val="00B208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08E8"/>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B208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08E8"/>
    <w:rPr>
      <w:rFonts w:ascii="Helvetica Neue Light" w:eastAsia="Helvetica Neue Light" w:hAnsi="Helvetica Neue Light" w:cs="Helvetica Neue Light"/>
      <w:lang w:val="en-US"/>
    </w:rPr>
  </w:style>
  <w:style w:type="character" w:customStyle="1" w:styleId="Heading7Char">
    <w:name w:val="Heading 7 Char"/>
    <w:aliases w:val="Table Body Char"/>
    <w:basedOn w:val="DefaultParagraphFont"/>
    <w:link w:val="Heading7"/>
    <w:uiPriority w:val="9"/>
    <w:rsid w:val="00B208E8"/>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B208E8"/>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B208E8"/>
    <w:rPr>
      <w:rFonts w:eastAsiaTheme="majorEastAsia"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B208E8"/>
    <w:rPr>
      <w:rFonts w:asciiTheme="majorHAnsi" w:eastAsiaTheme="majorEastAsia" w:hAnsiTheme="majorHAnsi" w:cs="Times New Roman (Headings CS)"/>
      <w:bCs/>
      <w:caps/>
      <w:color w:val="0388C5" w:themeColor="accent5"/>
      <w:sz w:val="40"/>
      <w:szCs w:val="40"/>
      <w:lang w:val="en-US"/>
    </w:rPr>
  </w:style>
  <w:style w:type="character" w:customStyle="1" w:styleId="Heading2Char">
    <w:name w:val="Heading 2 Char"/>
    <w:basedOn w:val="DefaultParagraphFont"/>
    <w:link w:val="Heading2"/>
    <w:uiPriority w:val="9"/>
    <w:rsid w:val="00B208E8"/>
    <w:rPr>
      <w:rFonts w:eastAsia="Helvetica Neue Light" w:cs="Helvetica Neue Light"/>
      <w:b/>
      <w:color w:val="405D78" w:themeColor="accent1"/>
      <w:sz w:val="28"/>
      <w:szCs w:val="28"/>
      <w:lang w:val="en-US"/>
    </w:rPr>
  </w:style>
  <w:style w:type="character" w:customStyle="1" w:styleId="Heading3Char">
    <w:name w:val="Heading 3 Char"/>
    <w:basedOn w:val="DefaultParagraphFont"/>
    <w:link w:val="Heading3"/>
    <w:uiPriority w:val="9"/>
    <w:rsid w:val="00B208E8"/>
    <w:rPr>
      <w:rFonts w:eastAsia="Helvetica Neue Light"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B208E8"/>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B208E8"/>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B208E8"/>
    <w:rPr>
      <w:rFonts w:eastAsiaTheme="majorEastAsia" w:cstheme="majorBidi"/>
      <w:b/>
      <w:bCs/>
      <w:i/>
      <w:iCs/>
      <w:color w:val="000000" w:themeColor="text1"/>
      <w:lang w:val="en-US"/>
    </w:rPr>
  </w:style>
  <w:style w:type="paragraph" w:styleId="Caption">
    <w:name w:val="caption"/>
    <w:basedOn w:val="Normal"/>
    <w:next w:val="Normal"/>
    <w:uiPriority w:val="35"/>
    <w:semiHidden/>
    <w:unhideWhenUsed/>
    <w:qFormat/>
    <w:rsid w:val="00B208E8"/>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B208E8"/>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B208E8"/>
    <w:rPr>
      <w:color w:val="405D78"/>
      <w:sz w:val="44"/>
      <w:szCs w:val="44"/>
      <w:lang w:val="en-US"/>
    </w:rPr>
  </w:style>
  <w:style w:type="character" w:styleId="Strong">
    <w:name w:val="Strong"/>
    <w:uiPriority w:val="22"/>
    <w:qFormat/>
    <w:rsid w:val="00B208E8"/>
    <w:rPr>
      <w:rFonts w:ascii="Helvetica Neue Medium" w:hAnsi="Helvetica Neue Medium"/>
    </w:rPr>
  </w:style>
  <w:style w:type="paragraph" w:styleId="Quote">
    <w:name w:val="Quote"/>
    <w:basedOn w:val="Normal"/>
    <w:next w:val="Normal"/>
    <w:link w:val="QuoteChar"/>
    <w:uiPriority w:val="29"/>
    <w:qFormat/>
    <w:rsid w:val="00B208E8"/>
    <w:rPr>
      <w:i/>
      <w:iCs/>
      <w:color w:val="000000" w:themeColor="text1"/>
    </w:rPr>
  </w:style>
  <w:style w:type="character" w:customStyle="1" w:styleId="QuoteChar">
    <w:name w:val="Quote Char"/>
    <w:basedOn w:val="DefaultParagraphFont"/>
    <w:link w:val="Quote"/>
    <w:uiPriority w:val="29"/>
    <w:rsid w:val="00B208E8"/>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B208E8"/>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B208E8"/>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B208E8"/>
    <w:rPr>
      <w:i/>
      <w:iCs/>
      <w:color w:val="808080" w:themeColor="text1" w:themeTint="7F"/>
    </w:rPr>
  </w:style>
  <w:style w:type="character" w:styleId="IntenseEmphasis">
    <w:name w:val="Intense Emphasis"/>
    <w:basedOn w:val="DefaultParagraphFont"/>
    <w:uiPriority w:val="21"/>
    <w:qFormat/>
    <w:rsid w:val="00B208E8"/>
    <w:rPr>
      <w:b/>
      <w:bCs/>
      <w:i/>
      <w:iCs/>
      <w:color w:val="405D78" w:themeColor="accent1"/>
    </w:rPr>
  </w:style>
  <w:style w:type="character" w:styleId="SubtleReference">
    <w:name w:val="Subtle Reference"/>
    <w:basedOn w:val="DefaultParagraphFont"/>
    <w:uiPriority w:val="31"/>
    <w:qFormat/>
    <w:rsid w:val="00B208E8"/>
    <w:rPr>
      <w:smallCaps/>
      <w:color w:val="97467C" w:themeColor="accent2"/>
      <w:u w:val="single"/>
    </w:rPr>
  </w:style>
  <w:style w:type="character" w:styleId="IntenseReference">
    <w:name w:val="Intense Reference"/>
    <w:basedOn w:val="DefaultParagraphFont"/>
    <w:uiPriority w:val="32"/>
    <w:qFormat/>
    <w:rsid w:val="00B208E8"/>
    <w:rPr>
      <w:b/>
      <w:bCs/>
      <w:smallCaps/>
      <w:color w:val="97467C" w:themeColor="accent2"/>
      <w:spacing w:val="5"/>
      <w:u w:val="single"/>
    </w:rPr>
  </w:style>
  <w:style w:type="character" w:styleId="BookTitle">
    <w:name w:val="Book Title"/>
    <w:basedOn w:val="DefaultParagraphFont"/>
    <w:uiPriority w:val="33"/>
    <w:qFormat/>
    <w:rsid w:val="00B208E8"/>
    <w:rPr>
      <w:b/>
      <w:bCs/>
      <w:smallCaps/>
      <w:spacing w:val="5"/>
    </w:rPr>
  </w:style>
  <w:style w:type="paragraph" w:styleId="TOCHeading">
    <w:name w:val="TOC Heading"/>
    <w:basedOn w:val="Heading1"/>
    <w:next w:val="Normal"/>
    <w:uiPriority w:val="39"/>
    <w:unhideWhenUsed/>
    <w:qFormat/>
    <w:rsid w:val="00B208E8"/>
    <w:pPr>
      <w:outlineLvl w:val="9"/>
    </w:pPr>
  </w:style>
  <w:style w:type="paragraph" w:styleId="Revision">
    <w:name w:val="Revision"/>
    <w:hidden/>
    <w:uiPriority w:val="99"/>
    <w:semiHidden/>
    <w:rsid w:val="00B208E8"/>
    <w:pPr>
      <w:spacing w:after="0" w:line="240" w:lineRule="auto"/>
    </w:pPr>
  </w:style>
  <w:style w:type="character" w:styleId="UnresolvedMention">
    <w:name w:val="Unresolved Mention"/>
    <w:basedOn w:val="DefaultParagraphFont"/>
    <w:uiPriority w:val="99"/>
    <w:rsid w:val="00B208E8"/>
    <w:rPr>
      <w:color w:val="605E5C"/>
      <w:shd w:val="clear" w:color="auto" w:fill="E1DFDD"/>
    </w:rPr>
  </w:style>
  <w:style w:type="paragraph" w:styleId="TOAHeading">
    <w:name w:val="toa heading"/>
    <w:basedOn w:val="Normal"/>
    <w:next w:val="Normal"/>
    <w:uiPriority w:val="99"/>
    <w:unhideWhenUsed/>
    <w:rsid w:val="00B208E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B208E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
    <w:basedOn w:val="Normal"/>
    <w:link w:val="FootnoteTextChar"/>
    <w:uiPriority w:val="99"/>
    <w:unhideWhenUsed/>
    <w:rsid w:val="00B208E8"/>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B208E8"/>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B208E8"/>
    <w:rPr>
      <w:vertAlign w:val="superscript"/>
    </w:rPr>
  </w:style>
  <w:style w:type="character" w:styleId="Hyperlink">
    <w:name w:val="Hyperlink"/>
    <w:basedOn w:val="DefaultParagraphFont"/>
    <w:uiPriority w:val="99"/>
    <w:unhideWhenUsed/>
    <w:rsid w:val="00B208E8"/>
    <w:rPr>
      <w:color w:val="47C2FC" w:themeColor="accent5" w:themeTint="99"/>
      <w:u w:val="single"/>
    </w:rPr>
  </w:style>
  <w:style w:type="paragraph" w:styleId="BodyText">
    <w:name w:val="Body Text"/>
    <w:basedOn w:val="Normal"/>
    <w:link w:val="BodyTextChar"/>
    <w:uiPriority w:val="99"/>
    <w:unhideWhenUsed/>
    <w:qFormat/>
    <w:rsid w:val="00B208E8"/>
    <w:pPr>
      <w:spacing w:after="240"/>
    </w:pPr>
  </w:style>
  <w:style w:type="character" w:customStyle="1" w:styleId="BodyTextChar">
    <w:name w:val="Body Text Char"/>
    <w:basedOn w:val="DefaultParagraphFont"/>
    <w:link w:val="BodyText"/>
    <w:uiPriority w:val="99"/>
    <w:rsid w:val="00B208E8"/>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B208E8"/>
    <w:rPr>
      <w:color w:val="0388C5" w:themeColor="accent5"/>
      <w:u w:val="single"/>
    </w:rPr>
  </w:style>
  <w:style w:type="table" w:styleId="TableGrid">
    <w:name w:val="Table Grid"/>
    <w:basedOn w:val="TableNormal"/>
    <w:uiPriority w:val="39"/>
    <w:rsid w:val="00B208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B208E8"/>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B208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B208E8"/>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208E8"/>
    <w:pPr>
      <w:spacing w:after="0"/>
    </w:pPr>
  </w:style>
  <w:style w:type="paragraph" w:styleId="Signature">
    <w:name w:val="Signature"/>
    <w:basedOn w:val="Normal"/>
    <w:link w:val="SignatureChar"/>
    <w:uiPriority w:val="99"/>
    <w:unhideWhenUsed/>
    <w:rsid w:val="00B208E8"/>
    <w:pPr>
      <w:spacing w:after="0" w:line="240" w:lineRule="auto"/>
      <w:ind w:left="4320"/>
    </w:pPr>
  </w:style>
  <w:style w:type="character" w:customStyle="1" w:styleId="SignatureChar">
    <w:name w:val="Signature Char"/>
    <w:basedOn w:val="DefaultParagraphFont"/>
    <w:link w:val="Signature"/>
    <w:uiPriority w:val="99"/>
    <w:rsid w:val="00B208E8"/>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B208E8"/>
    <w:rPr>
      <w:u w:val="dotted"/>
    </w:rPr>
  </w:style>
  <w:style w:type="paragraph" w:styleId="Salutation">
    <w:name w:val="Salutation"/>
    <w:basedOn w:val="Normal"/>
    <w:next w:val="Normal"/>
    <w:link w:val="SalutationChar"/>
    <w:uiPriority w:val="99"/>
    <w:unhideWhenUsed/>
    <w:rsid w:val="00B208E8"/>
  </w:style>
  <w:style w:type="character" w:customStyle="1" w:styleId="SalutationChar">
    <w:name w:val="Salutation Char"/>
    <w:basedOn w:val="DefaultParagraphFont"/>
    <w:link w:val="Salutation"/>
    <w:uiPriority w:val="99"/>
    <w:rsid w:val="00B208E8"/>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B208E8"/>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B208E8"/>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B208E8"/>
  </w:style>
  <w:style w:type="character" w:customStyle="1" w:styleId="SubtitleTitle2">
    <w:name w:val="SubtitleTitle 2"/>
    <w:basedOn w:val="DefaultParagraphFont"/>
    <w:uiPriority w:val="1"/>
    <w:qFormat/>
    <w:rsid w:val="00B208E8"/>
    <w:rPr>
      <w:sz w:val="48"/>
      <w:szCs w:val="48"/>
    </w:rPr>
  </w:style>
  <w:style w:type="paragraph" w:styleId="TOC1">
    <w:name w:val="toc 1"/>
    <w:basedOn w:val="Normal"/>
    <w:next w:val="Normal"/>
    <w:autoRedefine/>
    <w:uiPriority w:val="39"/>
    <w:unhideWhenUsed/>
    <w:rsid w:val="00B208E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B208E8"/>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208E8"/>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B208E8"/>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B208E8"/>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B208E8"/>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B208E8"/>
    <w:pPr>
      <w:spacing w:after="200" w:line="276" w:lineRule="auto"/>
      <w:ind w:firstLine="360"/>
    </w:pPr>
  </w:style>
  <w:style w:type="character" w:customStyle="1" w:styleId="BodyTextFirstIndentChar">
    <w:name w:val="Body Text First Indent Char"/>
    <w:basedOn w:val="BodyTextChar"/>
    <w:link w:val="BodyTextFirstIndent"/>
    <w:uiPriority w:val="99"/>
    <w:rsid w:val="00B208E8"/>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B208E8"/>
    <w:pPr>
      <w:spacing w:after="120"/>
      <w:ind w:left="360"/>
    </w:pPr>
  </w:style>
  <w:style w:type="character" w:customStyle="1" w:styleId="BodyTextIndentChar">
    <w:name w:val="Body Text Indent Char"/>
    <w:basedOn w:val="DefaultParagraphFont"/>
    <w:link w:val="BodyTextIndent"/>
    <w:uiPriority w:val="99"/>
    <w:rsid w:val="00B208E8"/>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B208E8"/>
    <w:pPr>
      <w:spacing w:after="200"/>
      <w:ind w:firstLine="360"/>
    </w:pPr>
  </w:style>
  <w:style w:type="character" w:customStyle="1" w:styleId="BodyTextFirstIndent2Char">
    <w:name w:val="Body Text First Indent 2 Char"/>
    <w:basedOn w:val="BodyTextIndentChar"/>
    <w:link w:val="BodyTextFirstIndent2"/>
    <w:uiPriority w:val="99"/>
    <w:rsid w:val="00B208E8"/>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B208E8"/>
    <w:pPr>
      <w:spacing w:after="120" w:line="480" w:lineRule="auto"/>
      <w:ind w:left="360"/>
    </w:pPr>
  </w:style>
  <w:style w:type="character" w:customStyle="1" w:styleId="BodyTextIndent2Char">
    <w:name w:val="Body Text Indent 2 Char"/>
    <w:basedOn w:val="DefaultParagraphFont"/>
    <w:link w:val="BodyTextIndent2"/>
    <w:uiPriority w:val="99"/>
    <w:rsid w:val="00B208E8"/>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B208E8"/>
    <w:pPr>
      <w:spacing w:after="120"/>
    </w:pPr>
    <w:rPr>
      <w:sz w:val="18"/>
      <w:szCs w:val="16"/>
    </w:rPr>
  </w:style>
  <w:style w:type="character" w:customStyle="1" w:styleId="BodyText3Char">
    <w:name w:val="Body Text 3 Char"/>
    <w:basedOn w:val="DefaultParagraphFont"/>
    <w:link w:val="BodyText3"/>
    <w:uiPriority w:val="99"/>
    <w:rsid w:val="00B208E8"/>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B208E8"/>
    <w:pPr>
      <w:spacing w:after="120"/>
      <w:ind w:left="360"/>
    </w:pPr>
    <w:rPr>
      <w:sz w:val="18"/>
      <w:szCs w:val="16"/>
    </w:rPr>
  </w:style>
  <w:style w:type="character" w:customStyle="1" w:styleId="BodyTextIndent3Char">
    <w:name w:val="Body Text Indent 3 Char"/>
    <w:basedOn w:val="DefaultParagraphFont"/>
    <w:link w:val="BodyTextIndent3"/>
    <w:uiPriority w:val="99"/>
    <w:rsid w:val="00B208E8"/>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B208E8"/>
    <w:pPr>
      <w:spacing w:after="0" w:line="240" w:lineRule="auto"/>
      <w:ind w:left="4320"/>
    </w:pPr>
  </w:style>
  <w:style w:type="character" w:customStyle="1" w:styleId="ClosingChar">
    <w:name w:val="Closing Char"/>
    <w:basedOn w:val="DefaultParagraphFont"/>
    <w:link w:val="Closing"/>
    <w:uiPriority w:val="99"/>
    <w:rsid w:val="00B208E8"/>
    <w:rPr>
      <w:rFonts w:ascii="Helvetica Neue Light" w:eastAsia="Helvetica Neue Light" w:hAnsi="Helvetica Neue Light" w:cs="Helvetica Neue Light"/>
      <w:lang w:val="en-US"/>
    </w:rPr>
  </w:style>
  <w:style w:type="paragraph" w:styleId="TOC7">
    <w:name w:val="toc 7"/>
    <w:basedOn w:val="Normal"/>
    <w:next w:val="Normal"/>
    <w:autoRedefine/>
    <w:uiPriority w:val="39"/>
    <w:unhideWhenUsed/>
    <w:rsid w:val="00B208E8"/>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208E8"/>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208E8"/>
    <w:pPr>
      <w:spacing w:after="0"/>
      <w:ind w:left="1760"/>
    </w:pPr>
    <w:rPr>
      <w:rFonts w:asciiTheme="minorHAnsi" w:hAnsiTheme="minorHAnsi"/>
      <w:sz w:val="20"/>
      <w:szCs w:val="20"/>
    </w:rPr>
  </w:style>
  <w:style w:type="paragraph" w:styleId="BlockText">
    <w:name w:val="Block Text"/>
    <w:basedOn w:val="Normal"/>
    <w:uiPriority w:val="99"/>
    <w:unhideWhenUsed/>
    <w:qFormat/>
    <w:rsid w:val="00B208E8"/>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B208E8"/>
    <w:pPr>
      <w:numPr>
        <w:numId w:val="3"/>
      </w:numPr>
      <w:spacing w:after="120"/>
    </w:pPr>
  </w:style>
  <w:style w:type="paragraph" w:styleId="ListBullet2">
    <w:name w:val="List Bullet 2"/>
    <w:basedOn w:val="Normal"/>
    <w:uiPriority w:val="99"/>
    <w:unhideWhenUsed/>
    <w:rsid w:val="00B208E8"/>
    <w:pPr>
      <w:tabs>
        <w:tab w:val="num" w:pos="720"/>
      </w:tabs>
      <w:spacing w:after="120"/>
      <w:ind w:left="720" w:hanging="720"/>
    </w:pPr>
  </w:style>
  <w:style w:type="character" w:styleId="LineNumber">
    <w:name w:val="line number"/>
    <w:basedOn w:val="DefaultParagraphFont"/>
    <w:uiPriority w:val="99"/>
    <w:unhideWhenUsed/>
    <w:rsid w:val="00B208E8"/>
  </w:style>
  <w:style w:type="paragraph" w:customStyle="1" w:styleId="NumberedList">
    <w:name w:val="Numbered List"/>
    <w:basedOn w:val="ListBullet2"/>
    <w:qFormat/>
    <w:rsid w:val="00B208E8"/>
  </w:style>
  <w:style w:type="paragraph" w:styleId="ListNumber">
    <w:name w:val="List Number"/>
    <w:basedOn w:val="Normal"/>
    <w:uiPriority w:val="99"/>
    <w:unhideWhenUsed/>
    <w:rsid w:val="00B208E8"/>
    <w:pPr>
      <w:tabs>
        <w:tab w:val="num" w:pos="720"/>
      </w:tabs>
      <w:spacing w:after="120"/>
      <w:ind w:left="720" w:hanging="720"/>
    </w:pPr>
  </w:style>
  <w:style w:type="paragraph" w:styleId="ListNumber2">
    <w:name w:val="List Number 2"/>
    <w:basedOn w:val="Normal"/>
    <w:uiPriority w:val="99"/>
    <w:unhideWhenUsed/>
    <w:rsid w:val="00B208E8"/>
    <w:pPr>
      <w:tabs>
        <w:tab w:val="num" w:pos="720"/>
      </w:tabs>
      <w:spacing w:after="120"/>
      <w:ind w:left="720" w:hanging="720"/>
    </w:pPr>
  </w:style>
  <w:style w:type="paragraph" w:styleId="ListNumber3">
    <w:name w:val="List Number 3"/>
    <w:basedOn w:val="Normal"/>
    <w:uiPriority w:val="99"/>
    <w:unhideWhenUsed/>
    <w:rsid w:val="00B208E8"/>
    <w:pPr>
      <w:tabs>
        <w:tab w:val="num" w:pos="720"/>
      </w:tabs>
      <w:spacing w:after="120"/>
      <w:ind w:left="720" w:hanging="720"/>
    </w:pPr>
  </w:style>
  <w:style w:type="paragraph" w:styleId="ListNumber4">
    <w:name w:val="List Number 4"/>
    <w:basedOn w:val="Normal"/>
    <w:uiPriority w:val="99"/>
    <w:unhideWhenUsed/>
    <w:rsid w:val="00B208E8"/>
    <w:pPr>
      <w:tabs>
        <w:tab w:val="num" w:pos="720"/>
      </w:tabs>
      <w:spacing w:after="120"/>
      <w:ind w:left="720" w:hanging="720"/>
    </w:pPr>
  </w:style>
  <w:style w:type="paragraph" w:styleId="ListNumber5">
    <w:name w:val="List Number 5"/>
    <w:basedOn w:val="Normal"/>
    <w:uiPriority w:val="99"/>
    <w:unhideWhenUsed/>
    <w:rsid w:val="00B208E8"/>
    <w:pPr>
      <w:tabs>
        <w:tab w:val="num" w:pos="720"/>
      </w:tabs>
      <w:spacing w:after="120"/>
      <w:ind w:left="720" w:hanging="720"/>
    </w:pPr>
  </w:style>
  <w:style w:type="table" w:styleId="GridTable1Light-Accent1">
    <w:name w:val="Grid Table 1 Light Accent 1"/>
    <w:basedOn w:val="TableNormal"/>
    <w:uiPriority w:val="46"/>
    <w:rsid w:val="00B208E8"/>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208E8"/>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B208E8"/>
    <w:pPr>
      <w:tabs>
        <w:tab w:val="num" w:pos="720"/>
      </w:tabs>
      <w:spacing w:after="120"/>
      <w:ind w:left="720" w:hanging="720"/>
    </w:pPr>
  </w:style>
  <w:style w:type="paragraph" w:styleId="ListBullet5">
    <w:name w:val="List Bullet 5"/>
    <w:basedOn w:val="Normal"/>
    <w:uiPriority w:val="99"/>
    <w:unhideWhenUsed/>
    <w:rsid w:val="00B208E8"/>
    <w:pPr>
      <w:tabs>
        <w:tab w:val="num" w:pos="720"/>
      </w:tabs>
      <w:spacing w:after="120"/>
      <w:ind w:left="720" w:hanging="720"/>
    </w:pPr>
  </w:style>
  <w:style w:type="paragraph" w:styleId="ListBullet4">
    <w:name w:val="List Bullet 4"/>
    <w:basedOn w:val="Normal"/>
    <w:uiPriority w:val="99"/>
    <w:unhideWhenUsed/>
    <w:rsid w:val="00B208E8"/>
    <w:pPr>
      <w:tabs>
        <w:tab w:val="num" w:pos="720"/>
      </w:tabs>
      <w:spacing w:after="120"/>
      <w:ind w:left="720" w:hanging="720"/>
    </w:pPr>
  </w:style>
  <w:style w:type="paragraph" w:customStyle="1" w:styleId="Heading2WithNumbers">
    <w:name w:val="Heading 2 With Numbers"/>
    <w:basedOn w:val="ListNumber2"/>
    <w:qFormat/>
    <w:rsid w:val="00B208E8"/>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B208E8"/>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B208E8"/>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B208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B208E8"/>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B208E8"/>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B208E8"/>
    <w:pPr>
      <w:tabs>
        <w:tab w:val="num" w:pos="720"/>
      </w:tabs>
      <w:ind w:left="720" w:hanging="720"/>
    </w:pPr>
  </w:style>
  <w:style w:type="paragraph" w:styleId="List">
    <w:name w:val="List"/>
    <w:basedOn w:val="Normal"/>
    <w:uiPriority w:val="99"/>
    <w:unhideWhenUsed/>
    <w:rsid w:val="00B208E8"/>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resourcecentre.savethechildren.net/pdf/ace_toolkit_0.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igitallibrary.un.org/record/673583?ln=en" TargetMode="External"/><Relationship Id="rId4" Type="http://schemas.openxmlformats.org/officeDocument/2006/relationships/settings" Target="settings.xml"/><Relationship Id="rId9" Type="http://schemas.openxmlformats.org/officeDocument/2006/relationships/hyperlink" Target="https://www.unhcr.org/media/guidelines-supervised-independent-living-unaccompanied-childre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9YPrAnJ30Imw0LW28CUENgepOg==">CgMxLjA4AHIhMS1MeDVsY3lwbUZYaUlWbXlaMWJ0U2xKZFBBd2QzanI1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1784</Words>
  <Characters>9351</Characters>
  <Application>Microsoft Office Word</Application>
  <DocSecurity>0</DocSecurity>
  <Lines>169</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Giannini</dc:creator>
  <cp:lastModifiedBy>Kyra Loat</cp:lastModifiedBy>
  <cp:revision>17</cp:revision>
  <dcterms:created xsi:type="dcterms:W3CDTF">2023-09-13T16:23:00Z</dcterms:created>
  <dcterms:modified xsi:type="dcterms:W3CDTF">2026-05-20T19:54:00Z</dcterms:modified>
</cp:coreProperties>
</file>